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line="560" w:lineRule="exact"/>
        <w:jc w:val="center"/>
        <w:textAlignment w:val="baseline"/>
        <w:rPr>
          <w:rStyle w:val="25"/>
          <w:rFonts w:ascii="方正小标宋简体" w:hAnsi="宋体" w:eastAsia="方正小标宋简体" w:cs="Times New Roman"/>
          <w:b/>
          <w:bCs/>
          <w:sz w:val="44"/>
          <w:szCs w:val="44"/>
        </w:rPr>
      </w:pPr>
    </w:p>
    <w:p>
      <w:pPr>
        <w:spacing w:after="156" w:line="560" w:lineRule="exact"/>
        <w:jc w:val="center"/>
        <w:textAlignment w:val="baseline"/>
        <w:rPr>
          <w:rStyle w:val="25"/>
          <w:rFonts w:ascii="方正小标宋简体" w:hAnsi="宋体" w:eastAsia="方正小标宋简体" w:cs="Times New Roman"/>
          <w:sz w:val="44"/>
          <w:szCs w:val="44"/>
        </w:rPr>
      </w:pPr>
    </w:p>
    <w:p>
      <w:pPr>
        <w:spacing w:after="156" w:line="560" w:lineRule="exact"/>
        <w:jc w:val="center"/>
        <w:textAlignment w:val="baseline"/>
        <w:rPr>
          <w:rStyle w:val="25"/>
          <w:rFonts w:ascii="方正小标宋简体" w:hAnsi="宋体" w:eastAsia="方正小标宋简体" w:cs="Times New Roman"/>
          <w:sz w:val="44"/>
          <w:szCs w:val="44"/>
        </w:rPr>
      </w:pPr>
    </w:p>
    <w:p>
      <w:pPr>
        <w:spacing w:after="156" w:line="560" w:lineRule="exact"/>
        <w:jc w:val="center"/>
        <w:textAlignment w:val="baseline"/>
        <w:rPr>
          <w:rStyle w:val="25"/>
          <w:rFonts w:ascii="方正小标宋简体" w:hAnsi="宋体" w:eastAsia="方正小标宋简体" w:cs="Times New Roman"/>
          <w:sz w:val="44"/>
          <w:szCs w:val="44"/>
        </w:rPr>
      </w:pPr>
      <w:r>
        <w:rPr>
          <w:rStyle w:val="25"/>
          <w:rFonts w:hint="eastAsia" w:ascii="方正小标宋简体" w:hAnsi="宋体" w:eastAsia="方正小标宋简体" w:cs="方正小标宋简体"/>
          <w:sz w:val="44"/>
          <w:szCs w:val="44"/>
        </w:rPr>
        <w:t>南昌大学学位授权点建设年度报告</w:t>
      </w:r>
    </w:p>
    <w:p>
      <w:pPr>
        <w:spacing w:after="156" w:line="560" w:lineRule="exact"/>
        <w:jc w:val="center"/>
        <w:textAlignment w:val="baseline"/>
        <w:rPr>
          <w:rStyle w:val="25"/>
          <w:rFonts w:ascii="方正小标宋简体" w:hAnsi="宋体" w:eastAsia="方正小标宋简体" w:cs="Times New Roman"/>
          <w:sz w:val="44"/>
          <w:szCs w:val="44"/>
        </w:rPr>
      </w:pPr>
      <w:r>
        <w:rPr>
          <w:rStyle w:val="25"/>
          <w:rFonts w:hint="eastAsia" w:ascii="方正小标宋简体" w:hAnsi="宋体" w:eastAsia="方正小标宋简体" w:cs="方正小标宋简体"/>
          <w:sz w:val="44"/>
          <w:szCs w:val="44"/>
        </w:rPr>
        <w:t>（</w:t>
      </w:r>
      <w:r>
        <w:rPr>
          <w:rStyle w:val="25"/>
          <w:rFonts w:ascii="方正小标宋简体" w:hAnsi="宋体" w:eastAsia="方正小标宋简体" w:cs="方正小标宋简体"/>
          <w:sz w:val="44"/>
          <w:szCs w:val="44"/>
        </w:rPr>
        <w:t>202</w:t>
      </w:r>
      <w:r>
        <w:rPr>
          <w:rStyle w:val="25"/>
          <w:rFonts w:hint="eastAsia" w:ascii="方正小标宋简体" w:hAnsi="宋体" w:eastAsia="方正小标宋简体" w:cs="方正小标宋简体"/>
          <w:sz w:val="44"/>
          <w:szCs w:val="44"/>
          <w:lang w:val="en-US"/>
        </w:rPr>
        <w:t>2</w:t>
      </w:r>
      <w:r>
        <w:rPr>
          <w:rStyle w:val="25"/>
          <w:rFonts w:hint="eastAsia" w:ascii="方正小标宋简体" w:hAnsi="宋体" w:eastAsia="方正小标宋简体" w:cs="方正小标宋简体"/>
          <w:sz w:val="44"/>
          <w:szCs w:val="44"/>
        </w:rPr>
        <w:t>年）</w:t>
      </w:r>
    </w:p>
    <w:p>
      <w:pPr>
        <w:spacing w:after="156" w:line="560" w:lineRule="exact"/>
        <w:jc w:val="center"/>
        <w:textAlignment w:val="baseline"/>
        <w:rPr>
          <w:rStyle w:val="25"/>
          <w:rFonts w:ascii="方正小标宋简体" w:hAnsi="宋体" w:eastAsia="方正小标宋简体" w:cs="Times New Roman"/>
          <w:sz w:val="44"/>
          <w:szCs w:val="44"/>
        </w:rPr>
      </w:pPr>
    </w:p>
    <w:p>
      <w:pPr>
        <w:snapToGrid w:val="0"/>
        <w:jc w:val="center"/>
        <w:textAlignment w:val="baseline"/>
        <w:rPr>
          <w:rStyle w:val="25"/>
          <w:rFonts w:ascii="Times New Roman" w:hAnsi="Times New Roman" w:eastAsia="宋体" w:cs="Times New Roman"/>
          <w:b/>
          <w:bCs/>
          <w:sz w:val="48"/>
          <w:szCs w:val="48"/>
        </w:rPr>
      </w:pPr>
    </w:p>
    <w:p>
      <w:pPr>
        <w:snapToGrid w:val="0"/>
        <w:jc w:val="center"/>
        <w:textAlignment w:val="baseline"/>
        <w:rPr>
          <w:rStyle w:val="25"/>
          <w:rFonts w:ascii="Times New Roman" w:hAnsi="Times New Roman" w:eastAsia="宋体" w:cs="Times New Roman"/>
          <w:b/>
          <w:bCs/>
          <w:sz w:val="48"/>
          <w:szCs w:val="48"/>
        </w:rPr>
      </w:pPr>
    </w:p>
    <w:p>
      <w:pPr>
        <w:snapToGrid w:val="0"/>
        <w:spacing w:line="300" w:lineRule="auto"/>
        <w:jc w:val="center"/>
        <w:textAlignment w:val="baseline"/>
        <w:rPr>
          <w:rStyle w:val="25"/>
          <w:rFonts w:ascii="Times New Roman" w:hAnsi="Times New Roman" w:eastAsia="宋体" w:cs="Times New Roman"/>
          <w:b/>
          <w:bCs/>
          <w:sz w:val="32"/>
          <w:szCs w:val="32"/>
        </w:rPr>
      </w:pPr>
    </w:p>
    <w:tbl>
      <w:tblPr>
        <w:tblStyle w:val="11"/>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tcBorders>
            <w:vAlign w:val="center"/>
          </w:tcPr>
          <w:p>
            <w:pPr>
              <w:snapToGrid w:val="0"/>
              <w:spacing w:line="240" w:lineRule="atLeast"/>
              <w:jc w:val="center"/>
              <w:textAlignment w:val="baseline"/>
              <w:rPr>
                <w:rStyle w:val="25"/>
                <w:rFonts w:ascii="Times New Roman" w:hAnsi="Times New Roman" w:eastAsia="宋体" w:cs="Times New Roman"/>
                <w:b/>
                <w:bCs/>
                <w:spacing w:val="-10"/>
                <w:sz w:val="32"/>
                <w:szCs w:val="32"/>
              </w:rPr>
            </w:pPr>
            <w:r>
              <w:rPr>
                <w:rStyle w:val="25"/>
                <w:rFonts w:hint="eastAsia" w:ascii="Times New Roman" w:hAnsi="Times New Roman" w:eastAsia="宋体" w:cs="宋体"/>
                <w:b/>
                <w:bCs/>
                <w:spacing w:val="-10"/>
                <w:sz w:val="32"/>
                <w:szCs w:val="32"/>
              </w:rPr>
              <w:t>生命科学学院</w:t>
            </w:r>
          </w:p>
          <w:p>
            <w:pPr>
              <w:snapToGrid w:val="0"/>
              <w:spacing w:line="240" w:lineRule="atLeast"/>
              <w:jc w:val="center"/>
              <w:textAlignment w:val="baseline"/>
              <w:rPr>
                <w:rStyle w:val="25"/>
                <w:rFonts w:ascii="Times New Roman" w:hAnsi="Times New Roman" w:eastAsia="宋体" w:cs="Times New Roman"/>
                <w:b/>
                <w:bCs/>
                <w:spacing w:val="-10"/>
                <w:sz w:val="32"/>
                <w:szCs w:val="32"/>
              </w:rPr>
            </w:pPr>
            <w:r>
              <w:rPr>
                <w:rStyle w:val="25"/>
                <w:rFonts w:hint="eastAsia" w:ascii="Times New Roman" w:hAnsi="Times New Roman" w:eastAsia="宋体" w:cs="宋体"/>
                <w:b/>
                <w:bCs/>
                <w:spacing w:val="-10"/>
                <w:sz w:val="32"/>
                <w:szCs w:val="32"/>
              </w:rPr>
              <w:t>（公章）</w:t>
            </w:r>
          </w:p>
        </w:tc>
        <w:tc>
          <w:tcPr>
            <w:tcW w:w="3977" w:type="dxa"/>
            <w:tcBorders>
              <w:top w:val="nil"/>
              <w:right w:val="nil"/>
            </w:tcBorders>
            <w:vAlign w:val="center"/>
          </w:tcPr>
          <w:p>
            <w:pPr>
              <w:snapToGrid w:val="0"/>
              <w:spacing w:line="300" w:lineRule="auto"/>
              <w:textAlignment w:val="baseline"/>
              <w:rPr>
                <w:rStyle w:val="25"/>
                <w:rFonts w:ascii="Times New Roman" w:hAnsi="Times New Roman" w:eastAsia="宋体" w:cs="Times New Roman"/>
                <w:b/>
                <w:bCs/>
                <w:spacing w:val="-10"/>
                <w:sz w:val="32"/>
                <w:szCs w:val="32"/>
              </w:rPr>
            </w:pPr>
            <w:r>
              <w:rPr>
                <w:rStyle w:val="25"/>
                <w:rFonts w:hint="eastAsia" w:ascii="Times New Roman" w:hAnsi="Times New Roman" w:eastAsia="宋体" w:cs="宋体"/>
                <w:b/>
                <w:bCs/>
                <w:spacing w:val="-10"/>
                <w:sz w:val="32"/>
                <w:szCs w:val="32"/>
              </w:rPr>
              <w:t>名称：生物学</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left w:val="nil"/>
              <w:bottom w:val="nil"/>
            </w:tcBorders>
            <w:vAlign w:val="center"/>
          </w:tcPr>
          <w:p>
            <w:pPr>
              <w:snapToGrid w:val="0"/>
              <w:spacing w:line="300" w:lineRule="auto"/>
              <w:jc w:val="center"/>
              <w:textAlignment w:val="baseline"/>
              <w:rPr>
                <w:rStyle w:val="25"/>
                <w:rFonts w:ascii="Times New Roman" w:hAnsi="Times New Roman" w:eastAsia="宋体" w:cs="Times New Roman"/>
                <w:b/>
                <w:bCs/>
                <w:spacing w:val="-10"/>
                <w:sz w:val="32"/>
                <w:szCs w:val="32"/>
              </w:rPr>
            </w:pPr>
          </w:p>
        </w:tc>
        <w:tc>
          <w:tcPr>
            <w:tcW w:w="3977" w:type="dxa"/>
            <w:tcBorders>
              <w:bottom w:val="nil"/>
              <w:right w:val="nil"/>
            </w:tcBorders>
            <w:vAlign w:val="center"/>
          </w:tcPr>
          <w:p>
            <w:pPr>
              <w:snapToGrid w:val="0"/>
              <w:spacing w:line="300" w:lineRule="auto"/>
              <w:textAlignment w:val="baseline"/>
              <w:rPr>
                <w:rStyle w:val="25"/>
                <w:rFonts w:hint="default" w:ascii="Times New Roman" w:hAnsi="Times New Roman" w:eastAsia="宋体" w:cs="Times New Roman"/>
                <w:b/>
                <w:bCs/>
                <w:spacing w:val="-10"/>
                <w:sz w:val="32"/>
                <w:szCs w:val="32"/>
                <w:lang w:val="en-US"/>
              </w:rPr>
            </w:pPr>
            <w:r>
              <w:rPr>
                <w:rStyle w:val="25"/>
                <w:rFonts w:hint="eastAsia" w:ascii="Times New Roman" w:hAnsi="Times New Roman" w:eastAsia="宋体" w:cs="宋体"/>
                <w:b/>
                <w:bCs/>
                <w:spacing w:val="-10"/>
                <w:sz w:val="32"/>
                <w:szCs w:val="32"/>
              </w:rPr>
              <w:t>代码：0</w:t>
            </w:r>
            <w:r>
              <w:rPr>
                <w:rStyle w:val="25"/>
                <w:rFonts w:ascii="Times New Roman" w:hAnsi="Times New Roman" w:eastAsia="宋体" w:cs="宋体"/>
                <w:b/>
                <w:bCs/>
                <w:spacing w:val="-10"/>
                <w:sz w:val="32"/>
                <w:szCs w:val="32"/>
              </w:rPr>
              <w:t>7</w:t>
            </w:r>
            <w:r>
              <w:rPr>
                <w:rStyle w:val="25"/>
                <w:rFonts w:hint="eastAsia" w:ascii="Times New Roman" w:hAnsi="Times New Roman" w:eastAsia="宋体" w:cs="宋体"/>
                <w:b/>
                <w:bCs/>
                <w:spacing w:val="-10"/>
                <w:sz w:val="32"/>
                <w:szCs w:val="32"/>
                <w:lang w:val="en-US"/>
              </w:rPr>
              <w:t>10</w:t>
            </w:r>
            <w:bookmarkStart w:id="1" w:name="_GoBack"/>
            <w:bookmarkEnd w:id="1"/>
          </w:p>
        </w:tc>
      </w:tr>
    </w:tbl>
    <w:p>
      <w:pPr>
        <w:snapToGrid w:val="0"/>
        <w:spacing w:line="300" w:lineRule="auto"/>
        <w:jc w:val="center"/>
        <w:textAlignment w:val="baseline"/>
        <w:rPr>
          <w:rStyle w:val="25"/>
          <w:rFonts w:ascii="Times New Roman" w:hAnsi="Times New Roman" w:eastAsia="宋体" w:cs="Times New Roman"/>
          <w:b/>
          <w:bCs/>
          <w:sz w:val="48"/>
          <w:szCs w:val="48"/>
        </w:rPr>
      </w:pPr>
    </w:p>
    <w:p>
      <w:pPr>
        <w:spacing w:line="560" w:lineRule="exact"/>
        <w:jc w:val="center"/>
        <w:textAlignment w:val="baseline"/>
        <w:rPr>
          <w:rStyle w:val="25"/>
          <w:rFonts w:ascii="Times New Roman" w:hAnsi="Times New Roman" w:eastAsia="楷体_GB2312" w:cs="Times New Roman"/>
          <w:b/>
          <w:bCs/>
          <w:sz w:val="30"/>
          <w:szCs w:val="30"/>
        </w:rPr>
      </w:pPr>
    </w:p>
    <w:p>
      <w:pPr>
        <w:pStyle w:val="26"/>
        <w:widowControl/>
        <w:rPr>
          <w:rStyle w:val="25"/>
          <w:rFonts w:ascii="黑体" w:hAnsi="黑体" w:eastAsia="黑体" w:cs="Times New Roman"/>
          <w:color w:val="auto"/>
          <w:sz w:val="32"/>
          <w:szCs w:val="32"/>
        </w:rPr>
      </w:pPr>
    </w:p>
    <w:p>
      <w:pPr>
        <w:rPr>
          <w:rStyle w:val="25"/>
          <w:rFonts w:ascii="黑体" w:hAnsi="黑体" w:eastAsia="黑体" w:cs="Times New Roman"/>
          <w:sz w:val="32"/>
          <w:szCs w:val="32"/>
        </w:rPr>
      </w:pPr>
    </w:p>
    <w:p>
      <w:pPr>
        <w:pStyle w:val="2"/>
        <w:rPr>
          <w:rStyle w:val="25"/>
          <w:rFonts w:ascii="黑体" w:hAnsi="黑体" w:eastAsia="黑体" w:cs="Times New Roman"/>
          <w:color w:val="auto"/>
          <w:sz w:val="32"/>
          <w:szCs w:val="32"/>
        </w:rPr>
      </w:pPr>
    </w:p>
    <w:p>
      <w:pPr>
        <w:rPr>
          <w:rFonts w:cs="Times New Roman"/>
        </w:rPr>
      </w:pPr>
    </w:p>
    <w:p>
      <w:pPr>
        <w:rPr>
          <w:rFonts w:cs="Times New Roman"/>
        </w:rPr>
      </w:pPr>
    </w:p>
    <w:p>
      <w:pPr>
        <w:spacing w:line="560" w:lineRule="exact"/>
        <w:jc w:val="center"/>
        <w:textAlignment w:val="baseline"/>
        <w:rPr>
          <w:rStyle w:val="25"/>
          <w:rFonts w:ascii="Times New Roman" w:hAnsi="Times New Roman" w:eastAsia="楷体_GB2312" w:cs="Times New Roman"/>
          <w:b/>
          <w:bCs/>
          <w:sz w:val="30"/>
          <w:szCs w:val="30"/>
        </w:rPr>
      </w:pPr>
    </w:p>
    <w:p>
      <w:pPr>
        <w:spacing w:line="560" w:lineRule="exact"/>
        <w:jc w:val="center"/>
        <w:textAlignment w:val="baseline"/>
        <w:rPr>
          <w:rStyle w:val="25"/>
          <w:rFonts w:ascii="黑体" w:hAnsi="黑体" w:eastAsia="黑体"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pPr>
      <w:r>
        <w:rPr>
          <w:rStyle w:val="25"/>
          <w:rFonts w:ascii="Times New Roman" w:hAnsi="Times New Roman" w:eastAsia="楷体_GB2312" w:cs="Times New Roman"/>
          <w:b/>
          <w:bCs/>
          <w:sz w:val="32"/>
          <w:szCs w:val="32"/>
        </w:rPr>
        <w:t>2022</w:t>
      </w:r>
      <w:r>
        <w:rPr>
          <w:rStyle w:val="25"/>
          <w:rFonts w:hint="eastAsia" w:ascii="Times New Roman" w:hAnsi="Times New Roman" w:eastAsia="楷体_GB2312" w:cs="楷体_GB2312"/>
          <w:b/>
          <w:bCs/>
          <w:sz w:val="32"/>
          <w:szCs w:val="32"/>
        </w:rPr>
        <w:t>年</w:t>
      </w:r>
      <w:r>
        <w:rPr>
          <w:rStyle w:val="25"/>
          <w:rFonts w:ascii="Times New Roman" w:hAnsi="Times New Roman" w:eastAsia="楷体_GB2312" w:cs="Times New Roman"/>
          <w:b/>
          <w:bCs/>
          <w:sz w:val="32"/>
          <w:szCs w:val="32"/>
        </w:rPr>
        <w:t xml:space="preserve"> </w:t>
      </w:r>
      <w:r>
        <w:rPr>
          <w:rStyle w:val="25"/>
          <w:rFonts w:hint="eastAsia" w:ascii="Times New Roman" w:hAnsi="Times New Roman" w:eastAsia="楷体_GB2312" w:cs="Times New Roman"/>
          <w:b/>
          <w:bCs/>
          <w:sz w:val="32"/>
          <w:szCs w:val="32"/>
          <w:lang w:val="en-US"/>
        </w:rPr>
        <w:t>2</w:t>
      </w:r>
      <w:r>
        <w:rPr>
          <w:rStyle w:val="25"/>
          <w:rFonts w:hint="eastAsia" w:ascii="Times New Roman" w:hAnsi="Times New Roman" w:eastAsia="楷体_GB2312" w:cs="楷体_GB2312"/>
          <w:b/>
          <w:bCs/>
          <w:sz w:val="32"/>
          <w:szCs w:val="32"/>
        </w:rPr>
        <w:t>月</w:t>
      </w:r>
      <w:r>
        <w:rPr>
          <w:rStyle w:val="25"/>
          <w:rFonts w:ascii="Times New Roman" w:hAnsi="Times New Roman" w:eastAsia="楷体_GB2312" w:cs="Times New Roman"/>
          <w:b/>
          <w:bCs/>
          <w:sz w:val="32"/>
          <w:szCs w:val="32"/>
        </w:rPr>
        <w:t xml:space="preserve"> </w:t>
      </w:r>
      <w:r>
        <w:rPr>
          <w:rStyle w:val="25"/>
          <w:rFonts w:hint="eastAsia" w:ascii="Times New Roman" w:hAnsi="Times New Roman" w:eastAsia="楷体_GB2312" w:cs="Times New Roman"/>
          <w:b/>
          <w:bCs/>
          <w:sz w:val="32"/>
          <w:szCs w:val="32"/>
          <w:lang w:val="en-US"/>
        </w:rPr>
        <w:t>10</w:t>
      </w:r>
      <w:r>
        <w:rPr>
          <w:rStyle w:val="25"/>
          <w:rFonts w:hint="eastAsia" w:ascii="Times New Roman" w:hAnsi="Times New Roman" w:eastAsia="楷体_GB2312" w:cs="楷体_GB2312"/>
          <w:b/>
          <w:bCs/>
          <w:sz w:val="32"/>
          <w:szCs w:val="32"/>
        </w:rPr>
        <w:t>日</w:t>
      </w:r>
    </w:p>
    <w:p>
      <w:pPr>
        <w:widowControl/>
        <w:numPr>
          <w:ilvl w:val="0"/>
          <w:numId w:val="1"/>
        </w:numPr>
        <w:spacing w:line="560" w:lineRule="exact"/>
        <w:textAlignment w:val="baseline"/>
        <w:rPr>
          <w:rStyle w:val="25"/>
          <w:rFonts w:ascii="黑体" w:hAnsi="黑体" w:eastAsia="黑体" w:cs="黑体"/>
          <w:sz w:val="32"/>
          <w:szCs w:val="32"/>
        </w:rPr>
      </w:pPr>
      <w:r>
        <w:rPr>
          <w:rStyle w:val="25"/>
          <w:rFonts w:hint="eastAsia" w:ascii="黑体" w:hAnsi="黑体" w:eastAsia="黑体" w:cs="黑体"/>
          <w:sz w:val="30"/>
          <w:szCs w:val="30"/>
        </w:rPr>
        <w:t>总体</w:t>
      </w:r>
      <w:r>
        <w:rPr>
          <w:rStyle w:val="25"/>
          <w:rFonts w:hint="eastAsia" w:ascii="黑体" w:hAnsi="黑体" w:eastAsia="黑体" w:cs="黑体"/>
          <w:sz w:val="32"/>
          <w:szCs w:val="32"/>
        </w:rPr>
        <w:t>概况</w:t>
      </w:r>
    </w:p>
    <w:p>
      <w:pPr>
        <w:pStyle w:val="2"/>
        <w:spacing w:line="560" w:lineRule="exact"/>
        <w:ind w:firstLine="960" w:firstLineChars="300"/>
        <w:rPr>
          <w:rStyle w:val="25"/>
          <w:rFonts w:ascii="Times New Roman" w:hAnsi="Times New Roman" w:cs="Times New Roman"/>
          <w:color w:val="auto"/>
          <w:sz w:val="32"/>
          <w:szCs w:val="32"/>
        </w:rPr>
      </w:pPr>
      <w:r>
        <w:rPr>
          <w:rStyle w:val="25"/>
          <w:rFonts w:ascii="Times New Roman" w:hAnsi="Times New Roman" w:cs="Times New Roman"/>
          <w:color w:val="auto"/>
          <w:sz w:val="32"/>
          <w:szCs w:val="32"/>
        </w:rPr>
        <w:t>学位授权点基本情况，学科建设情况，研究生招生、在读、毕业、学位授予及就业基本状况，研究生导师状况（总体规模、队伍结构）等。</w:t>
      </w:r>
    </w:p>
    <w:p>
      <w:pPr>
        <w:ind w:firstLine="562" w:firstLineChars="200"/>
        <w:rPr>
          <w:rFonts w:ascii="宋体" w:hAnsi="宋体" w:eastAsia="宋体"/>
          <w:sz w:val="28"/>
          <w:szCs w:val="28"/>
        </w:rPr>
      </w:pPr>
      <w:r>
        <w:rPr>
          <w:rFonts w:hint="eastAsia" w:ascii="宋体" w:hAnsi="宋体" w:eastAsia="宋体"/>
          <w:b/>
          <w:bCs/>
          <w:sz w:val="28"/>
          <w:szCs w:val="28"/>
        </w:rPr>
        <w:t>1．学位授权点基本情况：</w:t>
      </w:r>
      <w:r>
        <w:rPr>
          <w:rFonts w:hint="eastAsia" w:ascii="宋体" w:hAnsi="宋体" w:eastAsia="宋体"/>
          <w:sz w:val="28"/>
          <w:szCs w:val="28"/>
        </w:rPr>
        <w:t>南昌大学生物学科</w:t>
      </w:r>
      <w:r>
        <w:rPr>
          <w:rFonts w:ascii="宋体" w:hAnsi="宋体" w:eastAsia="宋体"/>
          <w:sz w:val="28"/>
          <w:szCs w:val="28"/>
        </w:rPr>
        <w:t>源于胡先骕先生 1940 年创办的原国立中正大学生物系</w:t>
      </w:r>
      <w:r>
        <w:rPr>
          <w:rFonts w:hint="eastAsia" w:ascii="宋体" w:hAnsi="宋体" w:eastAsia="宋体"/>
          <w:sz w:val="28"/>
          <w:szCs w:val="28"/>
        </w:rPr>
        <w:t>。1</w:t>
      </w:r>
      <w:r>
        <w:rPr>
          <w:rFonts w:ascii="宋体" w:hAnsi="宋体" w:eastAsia="宋体"/>
          <w:sz w:val="28"/>
          <w:szCs w:val="28"/>
        </w:rPr>
        <w:t>983</w:t>
      </w:r>
      <w:r>
        <w:rPr>
          <w:rFonts w:hint="eastAsia" w:ascii="宋体" w:hAnsi="宋体" w:eastAsia="宋体"/>
          <w:sz w:val="28"/>
          <w:szCs w:val="28"/>
        </w:rPr>
        <w:t>年植物学、动物学硕士点获授权，</w:t>
      </w:r>
      <w:r>
        <w:rPr>
          <w:rFonts w:ascii="宋体" w:hAnsi="宋体" w:eastAsia="宋体"/>
          <w:sz w:val="28"/>
          <w:szCs w:val="28"/>
        </w:rPr>
        <w:t>2006</w:t>
      </w:r>
      <w:r>
        <w:rPr>
          <w:rFonts w:hint="eastAsia" w:ascii="宋体" w:hAnsi="宋体" w:eastAsia="宋体"/>
          <w:sz w:val="28"/>
          <w:szCs w:val="28"/>
        </w:rPr>
        <w:t>年获批生物学一级学科硕士点，</w:t>
      </w:r>
      <w:r>
        <w:rPr>
          <w:rFonts w:ascii="宋体" w:hAnsi="宋体" w:eastAsia="宋体"/>
          <w:sz w:val="28"/>
          <w:szCs w:val="28"/>
        </w:rPr>
        <w:t>2011</w:t>
      </w:r>
      <w:r>
        <w:rPr>
          <w:rFonts w:hint="eastAsia" w:ascii="宋体" w:hAnsi="宋体" w:eastAsia="宋体"/>
          <w:sz w:val="28"/>
          <w:szCs w:val="28"/>
        </w:rPr>
        <w:t>年获批生物学一级学科博士点和</w:t>
      </w:r>
      <w:r>
        <w:rPr>
          <w:rFonts w:ascii="宋体" w:hAnsi="宋体" w:eastAsia="宋体"/>
          <w:sz w:val="28"/>
          <w:szCs w:val="28"/>
        </w:rPr>
        <w:t>2012</w:t>
      </w:r>
      <w:r>
        <w:rPr>
          <w:rFonts w:hint="eastAsia" w:ascii="宋体" w:hAnsi="宋体" w:eastAsia="宋体"/>
          <w:sz w:val="28"/>
          <w:szCs w:val="28"/>
        </w:rPr>
        <w:t>年设立博士后流动站。目前拥有包括植物学、动物学、微生物学、生化与分子生物学、遗传学、细胞生物学和神经生物学等二级学科。</w:t>
      </w:r>
    </w:p>
    <w:p>
      <w:pPr>
        <w:ind w:firstLine="560" w:firstLineChars="200"/>
        <w:rPr>
          <w:rFonts w:ascii="宋体" w:hAnsi="宋体" w:eastAsia="宋体"/>
          <w:sz w:val="28"/>
          <w:szCs w:val="28"/>
        </w:rPr>
      </w:pPr>
      <w:r>
        <w:rPr>
          <w:rFonts w:hint="eastAsia" w:ascii="宋体" w:hAnsi="宋体" w:eastAsia="宋体"/>
          <w:sz w:val="28"/>
          <w:szCs w:val="28"/>
        </w:rPr>
        <w:t>生物学学位点自设立以来，坚持党建引领，本着“教育要面向现代化、面向世界、面向未来”的原则，坚持以强化和巩固特色方向为基础，重视新兴和交叉学科，以服务区域经济、探索生命科学规律和人类健康为目标，以培养高层次、创新性和复合型人才为宗旨和定位。培养具有正确的人生观、价值观和世界观，品德端正、治学态度严谨，有追求真理和献身科学的创新和协作精神的人才；在专业上，培养专业基础知识扎实、创新意识较强、综合素质较高的高层次、创新性和复合型人才，以适应于快速发展的生物领域产业，适应于现代生命科学研究领域，适应于农、林、水、环境、医学、制药等行业。</w:t>
      </w:r>
    </w:p>
    <w:p>
      <w:pPr>
        <w:ind w:firstLine="560" w:firstLineChars="200"/>
        <w:rPr>
          <w:rFonts w:ascii="宋体" w:hAnsi="宋体" w:eastAsia="宋体"/>
          <w:sz w:val="28"/>
          <w:szCs w:val="28"/>
        </w:rPr>
      </w:pPr>
      <w:r>
        <w:rPr>
          <w:rFonts w:ascii="宋体" w:hAnsi="宋体" w:eastAsia="宋体"/>
          <w:sz w:val="28"/>
          <w:szCs w:val="28"/>
        </w:rPr>
        <w:t>学位点立足江西，面向全国，</w:t>
      </w:r>
      <w:r>
        <w:rPr>
          <w:rFonts w:hint="eastAsia" w:ascii="宋体" w:hAnsi="宋体" w:eastAsia="宋体"/>
          <w:sz w:val="28"/>
          <w:szCs w:val="28"/>
        </w:rPr>
        <w:t>逐步成为我国华中地区</w:t>
      </w:r>
      <w:r>
        <w:rPr>
          <w:rFonts w:ascii="宋体" w:hAnsi="宋体" w:eastAsia="宋体"/>
          <w:sz w:val="28"/>
          <w:szCs w:val="28"/>
        </w:rPr>
        <w:t>生物学科技创新和高层次人才培养的主要基地，也为国内兄弟院校和科研单位输送优秀青年人才，为生物学领域培养高层次创新型复合人才。随着开放和人才引进，学位点导师力 量逐步增强，平台条件日益完善，学科水平不断提高，培养质量稳步提高</w:t>
      </w:r>
      <w:r>
        <w:rPr>
          <w:rFonts w:hint="eastAsia" w:ascii="宋体" w:hAnsi="宋体" w:eastAsia="宋体"/>
          <w:sz w:val="28"/>
          <w:szCs w:val="28"/>
        </w:rPr>
        <w:t>。</w:t>
      </w:r>
    </w:p>
    <w:p>
      <w:pPr>
        <w:ind w:firstLine="562" w:firstLineChars="200"/>
        <w:rPr>
          <w:rFonts w:hint="eastAsia" w:ascii="宋体" w:hAnsi="宋体" w:eastAsia="宋体" w:cs="宋体"/>
          <w:sz w:val="28"/>
          <w:szCs w:val="28"/>
        </w:rPr>
      </w:pPr>
      <w:r>
        <w:rPr>
          <w:rStyle w:val="25"/>
          <w:rFonts w:hint="eastAsia" w:ascii="宋体" w:hAnsi="宋体" w:eastAsia="宋体" w:cs="方正仿宋简体"/>
          <w:b/>
          <w:bCs/>
          <w:sz w:val="28"/>
          <w:szCs w:val="28"/>
        </w:rPr>
        <w:t>2</w:t>
      </w:r>
      <w:r>
        <w:rPr>
          <w:rStyle w:val="25"/>
          <w:rFonts w:ascii="宋体" w:hAnsi="宋体" w:eastAsia="宋体" w:cs="方正仿宋简体"/>
          <w:b/>
          <w:bCs/>
          <w:sz w:val="28"/>
          <w:szCs w:val="28"/>
        </w:rPr>
        <w:t>.</w:t>
      </w:r>
      <w:r>
        <w:rPr>
          <w:rStyle w:val="25"/>
          <w:rFonts w:hint="eastAsia" w:ascii="宋体" w:hAnsi="宋体" w:eastAsia="宋体" w:cs="方正仿宋简体"/>
          <w:b/>
          <w:bCs/>
          <w:sz w:val="28"/>
          <w:szCs w:val="28"/>
        </w:rPr>
        <w:t>学科建设情况：</w:t>
      </w:r>
      <w:r>
        <w:rPr>
          <w:rFonts w:hint="eastAsia" w:ascii="宋体" w:hAnsi="宋体" w:eastAsia="宋体"/>
          <w:sz w:val="28"/>
          <w:szCs w:val="28"/>
        </w:rPr>
        <w:t>自</w:t>
      </w:r>
      <w:r>
        <w:rPr>
          <w:rFonts w:ascii="宋体" w:hAnsi="宋体" w:eastAsia="宋体"/>
          <w:sz w:val="28"/>
          <w:szCs w:val="28"/>
        </w:rPr>
        <w:t>“</w:t>
      </w:r>
      <w:r>
        <w:rPr>
          <w:rFonts w:hint="eastAsia" w:ascii="宋体" w:hAnsi="宋体" w:eastAsia="宋体"/>
          <w:sz w:val="28"/>
          <w:szCs w:val="28"/>
        </w:rPr>
        <w:t>十一五</w:t>
      </w:r>
      <w:r>
        <w:rPr>
          <w:rFonts w:ascii="宋体" w:hAnsi="宋体" w:eastAsia="宋体"/>
          <w:sz w:val="28"/>
          <w:szCs w:val="28"/>
        </w:rPr>
        <w:t>”</w:t>
      </w:r>
      <w:r>
        <w:rPr>
          <w:rFonts w:hint="eastAsia" w:ascii="宋体" w:hAnsi="宋体" w:eastAsia="宋体"/>
          <w:sz w:val="28"/>
          <w:szCs w:val="28"/>
        </w:rPr>
        <w:t>以来，南昌大学生物学学科一直是江西省重点建设特色优势学科，在全国第</w:t>
      </w:r>
      <w:r>
        <w:rPr>
          <w:rFonts w:hint="eastAsia" w:ascii="宋体" w:hAnsi="宋体" w:eastAsia="宋体"/>
          <w:sz w:val="28"/>
          <w:szCs w:val="28"/>
          <w:lang w:val="en-US" w:eastAsia="zh-CN"/>
        </w:rPr>
        <w:t>五</w:t>
      </w:r>
      <w:r>
        <w:rPr>
          <w:rFonts w:hint="eastAsia" w:ascii="宋体" w:hAnsi="宋体" w:eastAsia="宋体"/>
          <w:sz w:val="28"/>
          <w:szCs w:val="28"/>
        </w:rPr>
        <w:t>次学科评估中被评为</w:t>
      </w:r>
      <w:r>
        <w:rPr>
          <w:rFonts w:ascii="宋体" w:hAnsi="宋体" w:eastAsia="宋体"/>
          <w:sz w:val="28"/>
          <w:szCs w:val="28"/>
        </w:rPr>
        <w:t>“B”</w:t>
      </w:r>
      <w:r>
        <w:rPr>
          <w:rFonts w:hint="eastAsia" w:ascii="宋体" w:hAnsi="宋体" w:eastAsia="宋体"/>
          <w:sz w:val="28"/>
          <w:szCs w:val="28"/>
        </w:rPr>
        <w:t>类学科</w:t>
      </w:r>
      <w:r>
        <w:rPr>
          <w:rFonts w:hint="eastAsia" w:ascii="宋体" w:hAnsi="宋体" w:eastAsia="宋体"/>
          <w:sz w:val="28"/>
          <w:szCs w:val="28"/>
          <w:lang w:eastAsia="zh-CN"/>
        </w:rPr>
        <w:t>，</w:t>
      </w:r>
      <w:r>
        <w:rPr>
          <w:rFonts w:hint="eastAsia" w:ascii="宋体" w:hAnsi="宋体" w:eastAsia="宋体"/>
          <w:sz w:val="28"/>
          <w:szCs w:val="28"/>
          <w:lang w:val="en-US" w:eastAsia="zh-CN"/>
        </w:rPr>
        <w:t>相比</w:t>
      </w:r>
      <w:r>
        <w:rPr>
          <w:rFonts w:hint="eastAsia" w:ascii="宋体" w:hAnsi="宋体" w:eastAsia="宋体"/>
          <w:sz w:val="28"/>
          <w:szCs w:val="28"/>
        </w:rPr>
        <w:t>第</w:t>
      </w:r>
      <w:r>
        <w:rPr>
          <w:rFonts w:hint="eastAsia" w:ascii="宋体" w:hAnsi="宋体" w:eastAsia="宋体"/>
          <w:sz w:val="28"/>
          <w:szCs w:val="28"/>
          <w:lang w:val="en-US" w:eastAsia="zh-CN"/>
        </w:rPr>
        <w:t>四</w:t>
      </w:r>
      <w:r>
        <w:rPr>
          <w:rFonts w:hint="eastAsia" w:ascii="宋体" w:hAnsi="宋体" w:eastAsia="宋体"/>
          <w:sz w:val="28"/>
          <w:szCs w:val="28"/>
        </w:rPr>
        <w:t>次学科评估</w:t>
      </w:r>
      <w:r>
        <w:rPr>
          <w:rFonts w:hint="eastAsia" w:ascii="宋体" w:hAnsi="宋体" w:eastAsia="宋体"/>
          <w:sz w:val="28"/>
          <w:szCs w:val="28"/>
          <w:lang w:val="en-US" w:eastAsia="zh-CN"/>
        </w:rPr>
        <w:t>B-提升了档次；</w:t>
      </w:r>
      <w:r>
        <w:rPr>
          <w:rFonts w:hint="eastAsia" w:ascii="宋体" w:hAnsi="宋体" w:eastAsia="宋体" w:cs="宋体"/>
          <w:sz w:val="28"/>
          <w:szCs w:val="28"/>
        </w:rPr>
        <w:t>“生物学与生物化学”、“</w:t>
      </w:r>
      <w:r>
        <w:rPr>
          <w:rFonts w:hint="eastAsia" w:ascii="宋体" w:hAnsi="宋体" w:eastAsia="宋体" w:cs="宋体"/>
          <w:color w:val="333333"/>
          <w:sz w:val="28"/>
          <w:szCs w:val="28"/>
        </w:rPr>
        <w:t>分子生物学和遗传学</w:t>
      </w:r>
      <w:r>
        <w:rPr>
          <w:rFonts w:hint="eastAsia" w:ascii="宋体" w:hAnsi="宋体" w:eastAsia="宋体" w:cs="宋体"/>
          <w:sz w:val="28"/>
          <w:szCs w:val="28"/>
        </w:rPr>
        <w:t>”进入 ESI 全球排名前 1%。</w:t>
      </w:r>
    </w:p>
    <w:p>
      <w:pPr>
        <w:pStyle w:val="31"/>
        <w:spacing w:line="560" w:lineRule="exact"/>
        <w:ind w:firstLine="660" w:firstLineChars="0"/>
        <w:rPr>
          <w:rFonts w:ascii="宋体" w:hAnsi="宋体"/>
          <w:sz w:val="28"/>
          <w:szCs w:val="28"/>
        </w:rPr>
      </w:pPr>
      <w:r>
        <w:rPr>
          <w:rFonts w:ascii="宋体" w:hAnsi="宋体"/>
          <w:sz w:val="28"/>
          <w:szCs w:val="28"/>
        </w:rPr>
        <w:t>学院根据</w:t>
      </w:r>
      <w:r>
        <w:rPr>
          <w:rFonts w:hint="eastAsia" w:ascii="宋体" w:hAnsi="宋体"/>
          <w:sz w:val="28"/>
          <w:szCs w:val="28"/>
        </w:rPr>
        <w:t>生物学</w:t>
      </w:r>
      <w:r>
        <w:rPr>
          <w:rFonts w:ascii="宋体" w:hAnsi="宋体"/>
          <w:sz w:val="28"/>
          <w:szCs w:val="28"/>
        </w:rPr>
        <w:t>学科发展特点，</w:t>
      </w:r>
      <w:r>
        <w:rPr>
          <w:rFonts w:ascii="宋体" w:hAnsi="宋体"/>
          <w:b/>
          <w:bCs/>
          <w:sz w:val="28"/>
          <w:szCs w:val="28"/>
        </w:rPr>
        <w:t>组建</w:t>
      </w:r>
      <w:r>
        <w:rPr>
          <w:rFonts w:hint="eastAsia" w:ascii="宋体" w:hAnsi="宋体"/>
          <w:b/>
          <w:bCs/>
          <w:sz w:val="28"/>
          <w:szCs w:val="28"/>
        </w:rPr>
        <w:t>了“人类衰老与健康研究所”、“植物研究所”、“生态学研究所”</w:t>
      </w:r>
      <w:r>
        <w:rPr>
          <w:rFonts w:ascii="宋体" w:hAnsi="宋体"/>
          <w:b/>
          <w:bCs/>
          <w:sz w:val="28"/>
          <w:szCs w:val="28"/>
        </w:rPr>
        <w:t xml:space="preserve"> </w:t>
      </w:r>
      <w:r>
        <w:rPr>
          <w:rFonts w:hint="eastAsia" w:ascii="宋体" w:hAnsi="宋体"/>
          <w:b/>
          <w:bCs/>
          <w:sz w:val="28"/>
          <w:szCs w:val="28"/>
        </w:rPr>
        <w:t>和“水生生物研究所”4个研究所和相应的</w:t>
      </w:r>
      <w:r>
        <w:rPr>
          <w:rFonts w:ascii="宋体" w:hAnsi="宋体"/>
          <w:b/>
          <w:bCs/>
          <w:sz w:val="28"/>
          <w:szCs w:val="28"/>
        </w:rPr>
        <w:t>1</w:t>
      </w:r>
      <w:r>
        <w:rPr>
          <w:rFonts w:hint="eastAsia" w:ascii="宋体" w:hAnsi="宋体"/>
          <w:b/>
          <w:bCs/>
          <w:sz w:val="28"/>
          <w:szCs w:val="28"/>
        </w:rPr>
        <w:t>6</w:t>
      </w:r>
      <w:r>
        <w:rPr>
          <w:rFonts w:ascii="宋体" w:hAnsi="宋体"/>
          <w:b/>
          <w:bCs/>
          <w:sz w:val="28"/>
          <w:szCs w:val="28"/>
        </w:rPr>
        <w:t xml:space="preserve"> 个 PI 研究团队</w:t>
      </w:r>
      <w:r>
        <w:rPr>
          <w:rFonts w:ascii="宋体" w:hAnsi="宋体"/>
          <w:sz w:val="28"/>
          <w:szCs w:val="28"/>
        </w:rPr>
        <w:t>，</w:t>
      </w:r>
      <w:r>
        <w:rPr>
          <w:rFonts w:hint="eastAsia" w:ascii="宋体" w:hAnsi="宋体"/>
          <w:sz w:val="28"/>
          <w:szCs w:val="28"/>
        </w:rPr>
        <w:t>以高层次人才队伍建设为抓手，以重点学科和重点科研基地为依托，推进创新团队建设，以学科带头人为核心，优化师资队伍结构，加大青年高级职称教师队伍培养，从根本上扭转了学科科研单干的现象，</w:t>
      </w:r>
      <w:r>
        <w:rPr>
          <w:rFonts w:ascii="宋体" w:hAnsi="宋体"/>
          <w:sz w:val="28"/>
          <w:szCs w:val="28"/>
        </w:rPr>
        <w:t>极大提升了科研团队创新能力</w:t>
      </w:r>
      <w:r>
        <w:rPr>
          <w:rFonts w:hint="eastAsia" w:ascii="宋体" w:hAnsi="宋体"/>
          <w:sz w:val="28"/>
          <w:szCs w:val="28"/>
        </w:rPr>
        <w:t>，科研水平及成果提升到更高层次，取得了显著的成绩。</w:t>
      </w:r>
    </w:p>
    <w:p>
      <w:pPr>
        <w:pStyle w:val="31"/>
        <w:spacing w:line="560" w:lineRule="exact"/>
        <w:ind w:firstLine="660" w:firstLineChars="0"/>
        <w:rPr>
          <w:rFonts w:ascii="宋体" w:hAnsi="宋体"/>
          <w:color w:val="000000"/>
          <w:sz w:val="28"/>
          <w:szCs w:val="28"/>
        </w:rPr>
      </w:pPr>
      <w:r>
        <w:rPr>
          <w:rFonts w:hint="eastAsia" w:ascii="宋体" w:hAnsi="宋体"/>
          <w:sz w:val="28"/>
          <w:szCs w:val="28"/>
          <w:lang w:val="en-US" w:eastAsia="zh-CN"/>
        </w:rPr>
        <w:t>学院拥有</w:t>
      </w:r>
      <w:r>
        <w:rPr>
          <w:rFonts w:hint="eastAsia" w:ascii="宋体" w:hAnsi="宋体"/>
          <w:sz w:val="28"/>
          <w:szCs w:val="28"/>
        </w:rPr>
        <w:t>江西省基因工程与分子生物学、江西省植物资源、江西省神经生物学、江西省水产动物资源与利用、江西省人类衰老</w:t>
      </w:r>
      <w:r>
        <w:rPr>
          <w:rFonts w:ascii="宋体" w:hAnsi="宋体"/>
          <w:sz w:val="28"/>
          <w:szCs w:val="28"/>
        </w:rPr>
        <w:t>等</w:t>
      </w:r>
      <w:r>
        <w:rPr>
          <w:rFonts w:hint="eastAsia" w:ascii="宋体" w:hAnsi="宋体"/>
          <w:sz w:val="28"/>
          <w:szCs w:val="28"/>
          <w:lang w:val="en-US" w:eastAsia="zh-CN"/>
        </w:rPr>
        <w:t>5</w:t>
      </w:r>
      <w:r>
        <w:rPr>
          <w:rFonts w:ascii="宋体" w:hAnsi="宋体"/>
          <w:sz w:val="28"/>
          <w:szCs w:val="28"/>
        </w:rPr>
        <w:t xml:space="preserve"> 个省级重点实验室</w:t>
      </w:r>
      <w:r>
        <w:rPr>
          <w:rFonts w:hint="eastAsia" w:ascii="宋体" w:hAnsi="宋体"/>
          <w:sz w:val="28"/>
          <w:szCs w:val="28"/>
        </w:rPr>
        <w:t>；获批</w:t>
      </w:r>
      <w:r>
        <w:rPr>
          <w:rFonts w:ascii="宋体" w:hAnsi="宋体"/>
          <w:sz w:val="28"/>
          <w:szCs w:val="28"/>
        </w:rPr>
        <w:t>国家重点研发计划</w:t>
      </w:r>
      <w:r>
        <w:rPr>
          <w:rFonts w:hint="eastAsia" w:ascii="宋体" w:hAnsi="宋体"/>
          <w:sz w:val="28"/>
          <w:szCs w:val="28"/>
        </w:rPr>
        <w:t>2项</w:t>
      </w:r>
      <w:r>
        <w:rPr>
          <w:rFonts w:ascii="宋体" w:hAnsi="宋体"/>
          <w:sz w:val="28"/>
          <w:szCs w:val="28"/>
        </w:rPr>
        <w:t>、国家自然基金重点项目</w:t>
      </w:r>
      <w:r>
        <w:rPr>
          <w:rFonts w:hint="eastAsia" w:ascii="宋体" w:hAnsi="宋体"/>
          <w:sz w:val="28"/>
          <w:szCs w:val="28"/>
        </w:rPr>
        <w:t>2项</w:t>
      </w:r>
      <w:r>
        <w:rPr>
          <w:rFonts w:ascii="宋体" w:hAnsi="宋体"/>
          <w:sz w:val="28"/>
          <w:szCs w:val="28"/>
        </w:rPr>
        <w:t>，</w:t>
      </w:r>
      <w:r>
        <w:rPr>
          <w:rFonts w:hint="eastAsia" w:ascii="宋体" w:hAnsi="宋体"/>
          <w:sz w:val="28"/>
          <w:szCs w:val="28"/>
        </w:rPr>
        <w:t>其它</w:t>
      </w:r>
      <w:r>
        <w:rPr>
          <w:rFonts w:ascii="宋体" w:hAnsi="宋体"/>
          <w:sz w:val="28"/>
          <w:szCs w:val="28"/>
        </w:rPr>
        <w:t xml:space="preserve">省部级和横向项目 56 项；在 </w:t>
      </w:r>
      <w:r>
        <w:rPr>
          <w:rFonts w:ascii="宋体" w:hAnsi="宋体"/>
          <w:i/>
          <w:sz w:val="28"/>
          <w:szCs w:val="28"/>
        </w:rPr>
        <w:t xml:space="preserve">Cell、Sci Adv、Neuron、NatCom </w:t>
      </w:r>
      <w:r>
        <w:rPr>
          <w:rFonts w:ascii="宋体" w:hAnsi="宋体"/>
          <w:sz w:val="28"/>
          <w:szCs w:val="28"/>
        </w:rPr>
        <w:t>等发表高水平论文</w:t>
      </w:r>
      <w:r>
        <w:rPr>
          <w:rFonts w:hint="eastAsia" w:ascii="宋体" w:hAnsi="宋体"/>
          <w:sz w:val="28"/>
          <w:szCs w:val="28"/>
        </w:rPr>
        <w:t>260</w:t>
      </w:r>
      <w:r>
        <w:rPr>
          <w:rFonts w:ascii="宋体" w:hAnsi="宋体"/>
          <w:sz w:val="28"/>
          <w:szCs w:val="28"/>
        </w:rPr>
        <w:t>篇；</w:t>
      </w:r>
      <w:r>
        <w:rPr>
          <w:rFonts w:hint="eastAsia" w:ascii="宋体" w:hAnsi="宋体"/>
          <w:color w:val="000000"/>
          <w:sz w:val="28"/>
          <w:szCs w:val="28"/>
        </w:rPr>
        <w:t>获省级科技奖励6项，其中江西省科技进步奖一等奖1项，江西省自然科学一等奖2项、二等奖1项；</w:t>
      </w:r>
      <w:bookmarkStart w:id="0" w:name="_Hlk94175576"/>
      <w:r>
        <w:rPr>
          <w:rFonts w:hint="eastAsia" w:ascii="宋体" w:hAnsi="宋体"/>
          <w:color w:val="000000"/>
          <w:sz w:val="28"/>
          <w:szCs w:val="28"/>
        </w:rPr>
        <w:t>以研究生为主要团队成员获第七届“中国国际互联网+大学生创新创业大赛”金奖2项。</w:t>
      </w:r>
      <w:bookmarkEnd w:id="0"/>
    </w:p>
    <w:p>
      <w:pPr>
        <w:ind w:firstLine="560" w:firstLineChars="200"/>
        <w:rPr>
          <w:rFonts w:ascii="宋体" w:hAnsi="宋体" w:eastAsia="宋体"/>
          <w:sz w:val="28"/>
          <w:szCs w:val="28"/>
        </w:rPr>
      </w:pPr>
      <w:r>
        <w:rPr>
          <w:rFonts w:ascii="宋体" w:hAnsi="宋体" w:eastAsia="宋体"/>
          <w:sz w:val="28"/>
          <w:szCs w:val="28"/>
        </w:rPr>
        <w:t>服务地方经济发展的能力</w:t>
      </w:r>
      <w:r>
        <w:rPr>
          <w:rFonts w:hint="eastAsia" w:ascii="宋体" w:hAnsi="宋体" w:eastAsia="宋体"/>
          <w:sz w:val="28"/>
          <w:szCs w:val="28"/>
        </w:rPr>
        <w:t>有较大</w:t>
      </w:r>
      <w:r>
        <w:rPr>
          <w:rFonts w:ascii="宋体" w:hAnsi="宋体" w:eastAsia="宋体"/>
          <w:sz w:val="28"/>
          <w:szCs w:val="28"/>
        </w:rPr>
        <w:t>提升</w:t>
      </w:r>
      <w:r>
        <w:rPr>
          <w:rFonts w:hint="eastAsia" w:ascii="宋体" w:hAnsi="宋体" w:eastAsia="宋体"/>
          <w:sz w:val="28"/>
          <w:szCs w:val="28"/>
        </w:rPr>
        <w:t>，学院各</w:t>
      </w:r>
      <w:r>
        <w:rPr>
          <w:rFonts w:ascii="宋体" w:hAnsi="宋体" w:eastAsia="宋体"/>
          <w:sz w:val="28"/>
          <w:szCs w:val="28"/>
        </w:rPr>
        <w:t>PI 研究团队立足江西良好的自然生态资源及农业大省的特点，结合我省革命老区脱贫致富的实际情况，紧紧围绕江西自然生态和革命老区，形成了鲜明的“绿色”和“红色”特色。学院</w:t>
      </w:r>
      <w:r>
        <w:rPr>
          <w:rFonts w:hint="eastAsia" w:ascii="宋体" w:hAnsi="宋体" w:eastAsia="宋体"/>
          <w:color w:val="333333"/>
          <w:sz w:val="28"/>
          <w:szCs w:val="28"/>
          <w:shd w:val="clear" w:color="auto" w:fill="FFFFFF"/>
        </w:rPr>
        <w:t>在</w:t>
      </w:r>
      <w:r>
        <w:rPr>
          <w:rFonts w:hint="eastAsia" w:ascii="宋体" w:hAnsi="宋体" w:eastAsia="宋体"/>
          <w:color w:val="000000"/>
          <w:kern w:val="0"/>
          <w:sz w:val="28"/>
          <w:szCs w:val="28"/>
        </w:rPr>
        <w:t>“稻渔工程”、生物防治、植物资源保护和利用、</w:t>
      </w:r>
      <w:r>
        <w:rPr>
          <w:rFonts w:hint="eastAsia" w:ascii="宋体" w:hAnsi="宋体" w:eastAsia="宋体"/>
          <w:sz w:val="28"/>
          <w:szCs w:val="28"/>
        </w:rPr>
        <w:t>人类衰老与老年健康、环境微生物修复、生物多样性调查与自然生态保护</w:t>
      </w:r>
      <w:r>
        <w:rPr>
          <w:rFonts w:ascii="宋体" w:hAnsi="宋体" w:eastAsia="宋体"/>
          <w:sz w:val="28"/>
          <w:szCs w:val="28"/>
        </w:rPr>
        <w:t>等方面，结合井冈山、瑞金等红色革命老区，为服务地方产业扶贫做出了突出贡献</w:t>
      </w:r>
      <w:r>
        <w:rPr>
          <w:rFonts w:hint="eastAsia" w:ascii="宋体" w:hAnsi="宋体" w:eastAsia="宋体"/>
          <w:sz w:val="28"/>
          <w:szCs w:val="28"/>
        </w:rPr>
        <w:t>。</w:t>
      </w:r>
    </w:p>
    <w:p>
      <w:pPr>
        <w:pStyle w:val="2"/>
        <w:spacing w:line="560" w:lineRule="exact"/>
        <w:ind w:firstLine="562"/>
        <w:rPr>
          <w:rFonts w:ascii="宋体" w:hAnsi="宋体" w:eastAsia="宋体"/>
          <w:sz w:val="28"/>
          <w:szCs w:val="28"/>
        </w:rPr>
      </w:pPr>
      <w:r>
        <w:rPr>
          <w:rStyle w:val="25"/>
          <w:rFonts w:hint="eastAsia" w:ascii="宋体" w:hAnsi="宋体" w:eastAsia="宋体" w:cs="方正仿宋简体"/>
          <w:b/>
          <w:bCs/>
          <w:color w:val="auto"/>
          <w:sz w:val="28"/>
          <w:szCs w:val="28"/>
        </w:rPr>
        <w:t>3</w:t>
      </w:r>
      <w:r>
        <w:rPr>
          <w:rStyle w:val="25"/>
          <w:rFonts w:ascii="宋体" w:hAnsi="宋体" w:eastAsia="宋体" w:cs="方正仿宋简体"/>
          <w:b/>
          <w:bCs/>
          <w:color w:val="auto"/>
          <w:sz w:val="28"/>
          <w:szCs w:val="28"/>
        </w:rPr>
        <w:t>.</w:t>
      </w:r>
      <w:r>
        <w:rPr>
          <w:rStyle w:val="25"/>
          <w:rFonts w:hint="eastAsia" w:ascii="宋体" w:hAnsi="宋体" w:eastAsia="宋体" w:cs="方正仿宋简体"/>
          <w:b/>
          <w:bCs/>
          <w:color w:val="auto"/>
          <w:sz w:val="28"/>
          <w:szCs w:val="28"/>
        </w:rPr>
        <w:t>研究生招生、在读、毕业、学位授予及就业基本状况</w:t>
      </w:r>
      <w:r>
        <w:rPr>
          <w:rStyle w:val="25"/>
          <w:rFonts w:hint="eastAsia" w:ascii="宋体" w:hAnsi="宋体" w:eastAsia="宋体" w:cs="方正仿宋简体"/>
          <w:color w:val="auto"/>
          <w:sz w:val="28"/>
          <w:szCs w:val="28"/>
        </w:rPr>
        <w:t>：</w:t>
      </w:r>
      <w:r>
        <w:rPr>
          <w:rFonts w:hint="eastAsia" w:ascii="宋体" w:hAnsi="宋体" w:eastAsia="宋体"/>
          <w:sz w:val="28"/>
          <w:szCs w:val="28"/>
        </w:rPr>
        <w:t>本学位的本年度生源较充足，以普通本科院校生源占主体，来自985或211高校的生源的比例有所提高，生源数量和质量各二级学科也不均衡。2</w:t>
      </w:r>
      <w:r>
        <w:rPr>
          <w:rFonts w:ascii="宋体" w:hAnsi="宋体" w:eastAsia="宋体"/>
          <w:sz w:val="28"/>
          <w:szCs w:val="28"/>
        </w:rPr>
        <w:t>02</w:t>
      </w:r>
      <w:r>
        <w:rPr>
          <w:rFonts w:hint="eastAsia" w:ascii="宋体" w:hAnsi="宋体" w:eastAsia="宋体"/>
          <w:sz w:val="28"/>
          <w:szCs w:val="28"/>
          <w:lang w:val="en-US" w:eastAsia="zh-CN"/>
        </w:rPr>
        <w:t>2</w:t>
      </w:r>
      <w:r>
        <w:rPr>
          <w:rFonts w:hint="eastAsia" w:ascii="宋体" w:hAnsi="宋体" w:eastAsia="宋体"/>
          <w:sz w:val="28"/>
          <w:szCs w:val="28"/>
        </w:rPr>
        <w:t>年硕士研究生报考人数</w:t>
      </w:r>
      <w:r>
        <w:rPr>
          <w:rFonts w:hint="eastAsia" w:ascii="宋体" w:hAnsi="宋体" w:eastAsia="宋体"/>
          <w:sz w:val="28"/>
          <w:szCs w:val="28"/>
          <w:lang w:val="en-US" w:eastAsia="zh-CN"/>
        </w:rPr>
        <w:t>460</w:t>
      </w:r>
      <w:r>
        <w:rPr>
          <w:rFonts w:hint="eastAsia" w:ascii="宋体" w:hAnsi="宋体" w:eastAsia="宋体"/>
          <w:sz w:val="28"/>
          <w:szCs w:val="28"/>
        </w:rPr>
        <w:t>，录取</w:t>
      </w:r>
      <w:r>
        <w:rPr>
          <w:rFonts w:hint="eastAsia" w:ascii="宋体" w:hAnsi="宋体" w:eastAsia="宋体"/>
          <w:sz w:val="28"/>
          <w:szCs w:val="28"/>
          <w:lang w:val="en-US" w:eastAsia="zh-CN"/>
        </w:rPr>
        <w:t>110</w:t>
      </w:r>
      <w:r>
        <w:rPr>
          <w:rFonts w:hint="eastAsia" w:ascii="宋体" w:hAnsi="宋体" w:eastAsia="宋体"/>
          <w:sz w:val="28"/>
          <w:szCs w:val="28"/>
        </w:rPr>
        <w:t>人，报录比为</w:t>
      </w:r>
      <w:r>
        <w:rPr>
          <w:rFonts w:hint="eastAsia" w:ascii="宋体" w:hAnsi="宋体" w:eastAsia="宋体"/>
          <w:sz w:val="28"/>
          <w:szCs w:val="28"/>
          <w:lang w:val="en-US" w:eastAsia="zh-CN"/>
        </w:rPr>
        <w:t>4.1</w:t>
      </w:r>
      <w:r>
        <w:rPr>
          <w:rFonts w:hint="eastAsia" w:ascii="宋体" w:hAnsi="宋体" w:eastAsia="宋体"/>
          <w:sz w:val="28"/>
          <w:szCs w:val="28"/>
        </w:rPr>
        <w:t>；博士研究生录取2</w:t>
      </w:r>
      <w:r>
        <w:rPr>
          <w:rFonts w:hint="eastAsia" w:ascii="宋体" w:hAnsi="宋体" w:eastAsia="宋体"/>
          <w:sz w:val="28"/>
          <w:szCs w:val="28"/>
          <w:lang w:val="en-US" w:eastAsia="zh-CN"/>
        </w:rPr>
        <w:t>8</w:t>
      </w:r>
      <w:r>
        <w:rPr>
          <w:rFonts w:hint="eastAsia" w:ascii="宋体" w:hAnsi="宋体" w:eastAsia="宋体"/>
          <w:sz w:val="28"/>
          <w:szCs w:val="28"/>
        </w:rPr>
        <w:t>人，其中审核制博士研究生录取2</w:t>
      </w:r>
      <w:r>
        <w:rPr>
          <w:rFonts w:ascii="宋体" w:hAnsi="宋体" w:eastAsia="宋体"/>
          <w:sz w:val="28"/>
          <w:szCs w:val="28"/>
        </w:rPr>
        <w:t>5</w:t>
      </w:r>
      <w:r>
        <w:rPr>
          <w:rFonts w:hint="eastAsia" w:ascii="宋体" w:hAnsi="宋体" w:eastAsia="宋体"/>
          <w:sz w:val="28"/>
          <w:szCs w:val="28"/>
        </w:rPr>
        <w:t>名，报名招考录取博士研究生</w:t>
      </w:r>
      <w:r>
        <w:rPr>
          <w:rFonts w:hint="eastAsia" w:ascii="宋体" w:hAnsi="宋体" w:eastAsia="宋体"/>
          <w:sz w:val="28"/>
          <w:szCs w:val="28"/>
          <w:lang w:val="en-US" w:eastAsia="zh-CN"/>
        </w:rPr>
        <w:t>3</w:t>
      </w:r>
      <w:r>
        <w:rPr>
          <w:rFonts w:hint="eastAsia" w:ascii="宋体" w:hAnsi="宋体" w:eastAsia="宋体"/>
          <w:sz w:val="28"/>
          <w:szCs w:val="28"/>
        </w:rPr>
        <w:t>人。</w:t>
      </w:r>
    </w:p>
    <w:p>
      <w:pPr>
        <w:rPr>
          <w:rFonts w:ascii="宋体" w:hAnsi="宋体" w:eastAsia="宋体"/>
          <w:color w:val="auto"/>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ascii="宋体" w:hAnsi="宋体" w:eastAsia="宋体"/>
          <w:color w:val="auto"/>
          <w:sz w:val="28"/>
          <w:szCs w:val="28"/>
        </w:rPr>
        <w:t xml:space="preserve"> </w:t>
      </w:r>
      <w:r>
        <w:rPr>
          <w:rFonts w:hint="eastAsia" w:ascii="宋体" w:hAnsi="宋体" w:eastAsia="宋体"/>
          <w:color w:val="auto"/>
          <w:sz w:val="28"/>
          <w:szCs w:val="28"/>
        </w:rPr>
        <w:t>2</w:t>
      </w:r>
      <w:r>
        <w:rPr>
          <w:rFonts w:ascii="宋体" w:hAnsi="宋体" w:eastAsia="宋体"/>
          <w:color w:val="auto"/>
          <w:sz w:val="28"/>
          <w:szCs w:val="28"/>
        </w:rPr>
        <w:t>02</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在读研究生</w:t>
      </w:r>
      <w:r>
        <w:rPr>
          <w:rFonts w:hint="eastAsia" w:ascii="宋体" w:hAnsi="宋体" w:eastAsia="宋体"/>
          <w:color w:val="auto"/>
          <w:sz w:val="28"/>
          <w:szCs w:val="28"/>
          <w:lang w:val="en-US" w:eastAsia="zh-CN"/>
        </w:rPr>
        <w:t>456</w:t>
      </w:r>
      <w:r>
        <w:rPr>
          <w:rFonts w:hint="eastAsia" w:ascii="宋体" w:hAnsi="宋体" w:eastAsia="宋体"/>
          <w:color w:val="auto"/>
          <w:sz w:val="28"/>
          <w:szCs w:val="28"/>
        </w:rPr>
        <w:t>名，毕业</w:t>
      </w:r>
      <w:r>
        <w:rPr>
          <w:rFonts w:hint="eastAsia" w:ascii="宋体" w:hAnsi="宋体" w:eastAsia="宋体"/>
          <w:color w:val="auto"/>
          <w:sz w:val="28"/>
          <w:szCs w:val="28"/>
          <w:lang w:val="en-US" w:eastAsia="zh-CN"/>
        </w:rPr>
        <w:t>105</w:t>
      </w:r>
      <w:r>
        <w:rPr>
          <w:rFonts w:hint="eastAsia" w:ascii="宋体" w:hAnsi="宋体" w:eastAsia="宋体"/>
          <w:color w:val="auto"/>
          <w:sz w:val="28"/>
          <w:szCs w:val="28"/>
        </w:rPr>
        <w:t>名研究生，其中硕士</w:t>
      </w:r>
      <w:r>
        <w:rPr>
          <w:rFonts w:hint="eastAsia" w:ascii="宋体" w:hAnsi="宋体" w:eastAsia="宋体"/>
          <w:color w:val="auto"/>
          <w:sz w:val="28"/>
          <w:szCs w:val="28"/>
          <w:lang w:val="en-US" w:eastAsia="zh-CN"/>
        </w:rPr>
        <w:t>87</w:t>
      </w:r>
      <w:r>
        <w:rPr>
          <w:rFonts w:hint="eastAsia" w:ascii="宋体" w:hAnsi="宋体" w:eastAsia="宋体"/>
          <w:color w:val="auto"/>
          <w:sz w:val="28"/>
          <w:szCs w:val="28"/>
        </w:rPr>
        <w:t>名，就业</w:t>
      </w:r>
      <w:r>
        <w:rPr>
          <w:rFonts w:hint="eastAsia" w:ascii="宋体" w:hAnsi="宋体" w:eastAsia="宋体"/>
          <w:color w:val="auto"/>
          <w:sz w:val="28"/>
          <w:szCs w:val="28"/>
          <w:lang w:val="en-US" w:eastAsia="zh-CN"/>
        </w:rPr>
        <w:t>77</w:t>
      </w:r>
      <w:r>
        <w:rPr>
          <w:rFonts w:hint="eastAsia" w:ascii="宋体" w:hAnsi="宋体" w:eastAsia="宋体"/>
          <w:color w:val="auto"/>
          <w:sz w:val="28"/>
          <w:szCs w:val="28"/>
        </w:rPr>
        <w:t>名，就业率为</w:t>
      </w:r>
      <w:r>
        <w:rPr>
          <w:rFonts w:hint="eastAsia" w:ascii="宋体" w:hAnsi="宋体" w:eastAsia="宋体"/>
          <w:color w:val="auto"/>
          <w:sz w:val="28"/>
          <w:szCs w:val="28"/>
          <w:lang w:val="en-US" w:eastAsia="zh-CN"/>
        </w:rPr>
        <w:t>88</w:t>
      </w:r>
      <w:r>
        <w:rPr>
          <w:rFonts w:ascii="宋体" w:hAnsi="宋体" w:eastAsia="宋体"/>
          <w:color w:val="auto"/>
          <w:sz w:val="28"/>
          <w:szCs w:val="28"/>
        </w:rPr>
        <w:t>.</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%，其中前三位签约就业的单位流向，比例从高到低依次为民营企业（3</w:t>
      </w:r>
      <w:r>
        <w:rPr>
          <w:rFonts w:ascii="宋体" w:hAnsi="宋体" w:eastAsia="宋体"/>
          <w:color w:val="auto"/>
          <w:sz w:val="28"/>
          <w:szCs w:val="28"/>
        </w:rPr>
        <w:t>0.2</w:t>
      </w:r>
      <w:r>
        <w:rPr>
          <w:rFonts w:hint="eastAsia" w:ascii="宋体" w:hAnsi="宋体" w:eastAsia="宋体"/>
          <w:color w:val="auto"/>
          <w:sz w:val="28"/>
          <w:szCs w:val="28"/>
        </w:rPr>
        <w:t>%）、三资企业（2</w:t>
      </w:r>
      <w:r>
        <w:rPr>
          <w:rFonts w:ascii="宋体" w:hAnsi="宋体" w:eastAsia="宋体"/>
          <w:color w:val="auto"/>
          <w:sz w:val="28"/>
          <w:szCs w:val="28"/>
        </w:rPr>
        <w:t>5</w:t>
      </w:r>
      <w:r>
        <w:rPr>
          <w:rFonts w:hint="eastAsia" w:ascii="宋体" w:hAnsi="宋体" w:eastAsia="宋体"/>
          <w:color w:val="auto"/>
          <w:sz w:val="28"/>
          <w:szCs w:val="28"/>
        </w:rPr>
        <w:t>.6%）和中等教育单位（17.</w:t>
      </w:r>
      <w:r>
        <w:rPr>
          <w:rFonts w:ascii="宋体" w:hAnsi="宋体" w:eastAsia="宋体"/>
          <w:color w:val="auto"/>
          <w:sz w:val="28"/>
          <w:szCs w:val="28"/>
        </w:rPr>
        <w:t>5</w:t>
      </w:r>
      <w:r>
        <w:rPr>
          <w:rFonts w:hint="eastAsia" w:ascii="宋体" w:hAnsi="宋体" w:eastAsia="宋体"/>
          <w:color w:val="auto"/>
          <w:sz w:val="28"/>
          <w:szCs w:val="28"/>
        </w:rPr>
        <w:t>%）。毕业生签约单位地域分布前三位，比例由高至低分别为江西省、东部地区和西部地区。硕士研究生继续攻读博士学位比例13.5%。</w:t>
      </w:r>
    </w:p>
    <w:p>
      <w:pPr>
        <w:ind w:firstLine="560" w:firstLineChars="200"/>
        <w:rPr>
          <w:rFonts w:ascii="宋体" w:hAnsi="宋体" w:eastAsia="宋体"/>
          <w:sz w:val="28"/>
          <w:szCs w:val="28"/>
        </w:rPr>
      </w:pPr>
      <w:r>
        <w:rPr>
          <w:rFonts w:hint="eastAsia" w:ascii="宋体" w:hAnsi="宋体" w:eastAsia="宋体"/>
          <w:color w:val="auto"/>
          <w:sz w:val="28"/>
          <w:szCs w:val="28"/>
        </w:rPr>
        <w:t>博士</w:t>
      </w:r>
      <w:r>
        <w:rPr>
          <w:rFonts w:hint="eastAsia" w:ascii="宋体" w:hAnsi="宋体" w:eastAsia="宋体"/>
          <w:color w:val="auto"/>
          <w:sz w:val="28"/>
          <w:szCs w:val="28"/>
          <w:lang w:val="en-US" w:eastAsia="zh-CN"/>
        </w:rPr>
        <w:t>24</w:t>
      </w:r>
      <w:r>
        <w:rPr>
          <w:rFonts w:hint="eastAsia" w:ascii="宋体" w:hAnsi="宋体" w:eastAsia="宋体"/>
          <w:color w:val="auto"/>
          <w:sz w:val="28"/>
          <w:szCs w:val="28"/>
        </w:rPr>
        <w:t>名，全部就业，就业率1</w:t>
      </w:r>
      <w:r>
        <w:rPr>
          <w:rFonts w:ascii="宋体" w:hAnsi="宋体" w:eastAsia="宋体"/>
          <w:color w:val="auto"/>
          <w:sz w:val="28"/>
          <w:szCs w:val="28"/>
        </w:rPr>
        <w:t>00</w:t>
      </w:r>
      <w:r>
        <w:rPr>
          <w:rFonts w:hint="eastAsia" w:ascii="宋体" w:hAnsi="宋体" w:eastAsia="宋体"/>
          <w:color w:val="auto"/>
          <w:sz w:val="28"/>
          <w:szCs w:val="28"/>
        </w:rPr>
        <w:t>%，其中93.3%的就业去向为高等教育单位，6.7%进入科研设计单位，专业对口率100%。毕业生均能独立从事科学研究和技术研发，具有较强的学习和工作能力。</w:t>
      </w:r>
    </w:p>
    <w:p>
      <w:pPr>
        <w:pStyle w:val="2"/>
        <w:spacing w:line="560" w:lineRule="exact"/>
        <w:ind w:firstLine="562"/>
        <w:rPr>
          <w:rFonts w:ascii="宋体" w:hAnsi="宋体" w:eastAsia="宋体"/>
          <w:color w:val="auto"/>
          <w:sz w:val="28"/>
          <w:szCs w:val="28"/>
        </w:rPr>
      </w:pPr>
      <w:r>
        <w:rPr>
          <w:rStyle w:val="25"/>
          <w:rFonts w:hint="eastAsia" w:ascii="宋体" w:hAnsi="宋体" w:eastAsia="宋体" w:cs="方正仿宋简体"/>
          <w:b/>
          <w:bCs/>
          <w:color w:val="auto"/>
          <w:sz w:val="28"/>
          <w:szCs w:val="28"/>
        </w:rPr>
        <w:t>4</w:t>
      </w:r>
      <w:r>
        <w:rPr>
          <w:rStyle w:val="25"/>
          <w:rFonts w:ascii="宋体" w:hAnsi="宋体" w:eastAsia="宋体" w:cs="方正仿宋简体"/>
          <w:b/>
          <w:bCs/>
          <w:color w:val="auto"/>
          <w:sz w:val="28"/>
          <w:szCs w:val="28"/>
        </w:rPr>
        <w:t>.</w:t>
      </w:r>
      <w:r>
        <w:rPr>
          <w:rStyle w:val="25"/>
          <w:rFonts w:hint="eastAsia" w:ascii="宋体" w:hAnsi="宋体" w:eastAsia="宋体" w:cs="方正仿宋简体"/>
          <w:b/>
          <w:bCs/>
          <w:color w:val="auto"/>
          <w:sz w:val="28"/>
          <w:szCs w:val="28"/>
        </w:rPr>
        <w:t>研究生导师状况（总体规模、队伍结构）：</w:t>
      </w:r>
      <w:r>
        <w:rPr>
          <w:rFonts w:hint="eastAsia" w:ascii="宋体" w:hAnsi="宋体" w:eastAsia="宋体"/>
          <w:color w:val="auto"/>
          <w:sz w:val="28"/>
          <w:szCs w:val="28"/>
        </w:rPr>
        <w:t>学位点建立了严格的导师遴选制度，选聘科研水平高具有丰富研究生培养经验的学科带头人担任各培养方向负责人。实行年度考核动态上岗，确保导师队伍的教育教学水平。目前有专任教师</w:t>
      </w:r>
      <w:r>
        <w:rPr>
          <w:rFonts w:hint="eastAsia" w:ascii="宋体" w:hAnsi="宋体" w:eastAsia="宋体"/>
          <w:color w:val="auto"/>
          <w:sz w:val="28"/>
          <w:szCs w:val="28"/>
          <w:lang w:val="en-US" w:eastAsia="zh-CN"/>
        </w:rPr>
        <w:t>61</w:t>
      </w:r>
      <w:r>
        <w:rPr>
          <w:rFonts w:hint="eastAsia" w:ascii="宋体" w:hAnsi="宋体" w:eastAsia="宋体"/>
          <w:color w:val="auto"/>
          <w:sz w:val="28"/>
          <w:szCs w:val="28"/>
        </w:rPr>
        <w:t>人，其中正高</w:t>
      </w:r>
      <w:r>
        <w:rPr>
          <w:rFonts w:ascii="宋体" w:hAnsi="宋体" w:eastAsia="宋体"/>
          <w:color w:val="auto"/>
          <w:sz w:val="28"/>
          <w:szCs w:val="28"/>
        </w:rPr>
        <w:t>31</w:t>
      </w:r>
      <w:r>
        <w:rPr>
          <w:rFonts w:hint="eastAsia" w:ascii="宋体" w:hAnsi="宋体" w:eastAsia="宋体"/>
          <w:color w:val="auto"/>
          <w:sz w:val="28"/>
          <w:szCs w:val="28"/>
        </w:rPr>
        <w:t>人，副高</w:t>
      </w:r>
      <w:r>
        <w:rPr>
          <w:rFonts w:hint="eastAsia" w:ascii="宋体" w:hAnsi="宋体" w:eastAsia="宋体"/>
          <w:color w:val="auto"/>
          <w:sz w:val="28"/>
          <w:szCs w:val="28"/>
          <w:lang w:val="en-US" w:eastAsia="zh-CN"/>
        </w:rPr>
        <w:t>30</w:t>
      </w:r>
      <w:r>
        <w:rPr>
          <w:rFonts w:hint="eastAsia" w:ascii="宋体" w:hAnsi="宋体" w:eastAsia="宋体"/>
          <w:color w:val="auto"/>
          <w:sz w:val="28"/>
          <w:szCs w:val="28"/>
        </w:rPr>
        <w:t>人，具有博士学位教师占84%，具有一年以上海外经历的教师占</w:t>
      </w:r>
      <w:r>
        <w:rPr>
          <w:rFonts w:hint="eastAsia" w:ascii="宋体" w:hAnsi="宋体" w:eastAsia="宋体"/>
          <w:color w:val="auto"/>
          <w:sz w:val="28"/>
          <w:szCs w:val="28"/>
          <w:lang w:val="en-US" w:eastAsia="zh-CN"/>
        </w:rPr>
        <w:t>72</w:t>
      </w:r>
      <w:r>
        <w:rPr>
          <w:rFonts w:hint="eastAsia" w:ascii="宋体" w:hAnsi="宋体" w:eastAsia="宋体"/>
          <w:color w:val="auto"/>
          <w:sz w:val="28"/>
          <w:szCs w:val="28"/>
        </w:rPr>
        <w:t>%。目前导师队伍中有博士生导师</w:t>
      </w:r>
      <w:r>
        <w:rPr>
          <w:rFonts w:ascii="宋体" w:hAnsi="宋体" w:eastAsia="宋体"/>
          <w:color w:val="auto"/>
          <w:sz w:val="28"/>
          <w:szCs w:val="28"/>
        </w:rPr>
        <w:t>32</w:t>
      </w:r>
      <w:r>
        <w:rPr>
          <w:rFonts w:hint="eastAsia" w:ascii="宋体" w:hAnsi="宋体" w:eastAsia="宋体"/>
          <w:color w:val="auto"/>
          <w:sz w:val="28"/>
          <w:szCs w:val="28"/>
        </w:rPr>
        <w:t>人，硕士生导师人</w:t>
      </w:r>
      <w:r>
        <w:rPr>
          <w:rFonts w:hint="eastAsia" w:ascii="宋体" w:hAnsi="宋体" w:eastAsia="宋体"/>
          <w:color w:val="auto"/>
          <w:sz w:val="28"/>
          <w:szCs w:val="28"/>
          <w:lang w:val="en-US" w:eastAsia="zh-CN"/>
        </w:rPr>
        <w:t>63</w:t>
      </w:r>
      <w:r>
        <w:rPr>
          <w:rFonts w:hint="eastAsia" w:ascii="宋体" w:hAnsi="宋体" w:eastAsia="宋体"/>
          <w:color w:val="auto"/>
          <w:sz w:val="28"/>
          <w:szCs w:val="28"/>
        </w:rPr>
        <w:t>。其中国家973首席专家1人，国家“千人计划”入选者2人，长江学者特聘教授1人和长江学者讲座教授1人，教育部新世纪创新人才1人，青年千人计划1人，教育部生物技术与生物工程教育指导委员会副主任委员1人，教育部创新创业优秀指导老师2人，江西省主要学科学术与技术带头人</w:t>
      </w:r>
      <w:r>
        <w:rPr>
          <w:rFonts w:ascii="宋体" w:hAnsi="宋体" w:eastAsia="宋体"/>
          <w:color w:val="auto"/>
          <w:sz w:val="28"/>
          <w:szCs w:val="28"/>
        </w:rPr>
        <w:t>4</w:t>
      </w:r>
      <w:r>
        <w:rPr>
          <w:rFonts w:hint="eastAsia" w:ascii="宋体" w:hAnsi="宋体" w:eastAsia="宋体"/>
          <w:color w:val="auto"/>
          <w:sz w:val="28"/>
          <w:szCs w:val="28"/>
        </w:rPr>
        <w:t>人，江西省百千万人才</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人，江西省金牌</w:t>
      </w:r>
      <w:r>
        <w:rPr>
          <w:rFonts w:hint="eastAsia" w:ascii="宋体" w:hAnsi="宋体" w:eastAsia="宋体"/>
          <w:color w:val="auto"/>
          <w:sz w:val="28"/>
          <w:szCs w:val="28"/>
          <w:lang w:val="en-US" w:eastAsia="zh-CN"/>
        </w:rPr>
        <w:t>教师（教学名师）2名（其中金牌</w:t>
      </w:r>
      <w:r>
        <w:rPr>
          <w:rFonts w:hint="eastAsia" w:ascii="宋体" w:hAnsi="宋体" w:eastAsia="宋体"/>
          <w:color w:val="auto"/>
          <w:sz w:val="28"/>
          <w:szCs w:val="28"/>
        </w:rPr>
        <w:t>研究生导师1名</w:t>
      </w:r>
      <w:r>
        <w:rPr>
          <w:rFonts w:hint="eastAsia" w:ascii="宋体" w:hAnsi="宋体" w:eastAsia="宋体"/>
          <w:color w:val="auto"/>
          <w:sz w:val="28"/>
          <w:szCs w:val="28"/>
          <w:lang w:eastAsia="zh-CN"/>
        </w:rPr>
        <w:t>）</w:t>
      </w:r>
      <w:r>
        <w:rPr>
          <w:rFonts w:hint="eastAsia" w:ascii="宋体" w:hAnsi="宋体" w:eastAsia="宋体"/>
          <w:color w:val="auto"/>
          <w:sz w:val="28"/>
          <w:szCs w:val="28"/>
        </w:rPr>
        <w:t>，省级教学名师1人。</w:t>
      </w:r>
    </w:p>
    <w:p>
      <w:pPr>
        <w:ind w:firstLine="560" w:firstLineChars="200"/>
        <w:rPr>
          <w:rFonts w:ascii="宋体" w:hAnsi="宋体" w:eastAsia="宋体"/>
          <w:sz w:val="28"/>
          <w:szCs w:val="28"/>
        </w:rPr>
      </w:pPr>
      <w:r>
        <w:rPr>
          <w:rFonts w:hint="eastAsia" w:ascii="宋体" w:hAnsi="宋体" w:eastAsia="宋体"/>
          <w:sz w:val="28"/>
          <w:szCs w:val="28"/>
        </w:rPr>
        <w:t>本学位点拥有一支学科结构较为合理，科研能力强，以中青年教师为主体的教师队伍。各培养方向师资力量均衡，每个方向拥有</w:t>
      </w:r>
      <w:r>
        <w:rPr>
          <w:rFonts w:ascii="宋体" w:hAnsi="宋体" w:eastAsia="宋体"/>
          <w:sz w:val="28"/>
          <w:szCs w:val="28"/>
        </w:rPr>
        <w:t>5</w:t>
      </w:r>
      <w:r>
        <w:rPr>
          <w:rFonts w:hint="eastAsia" w:ascii="宋体" w:hAnsi="宋体" w:eastAsia="宋体"/>
          <w:sz w:val="28"/>
          <w:szCs w:val="28"/>
        </w:rPr>
        <w:t>位以上的正高职称教师。</w:t>
      </w:r>
    </w:p>
    <w:p>
      <w:pPr>
        <w:pStyle w:val="2"/>
      </w:pPr>
    </w:p>
    <w:p>
      <w:pPr>
        <w:pStyle w:val="2"/>
        <w:numPr>
          <w:ilvl w:val="0"/>
          <w:numId w:val="1"/>
        </w:numPr>
        <w:spacing w:line="560" w:lineRule="exact"/>
        <w:ind w:firstLineChars="0"/>
        <w:rPr>
          <w:rStyle w:val="25"/>
          <w:rFonts w:ascii="黑体" w:hAnsi="黑体" w:eastAsia="黑体" w:cs="黑体"/>
          <w:color w:val="auto"/>
          <w:sz w:val="32"/>
          <w:szCs w:val="32"/>
        </w:rPr>
      </w:pPr>
      <w:r>
        <w:rPr>
          <w:rStyle w:val="25"/>
          <w:rFonts w:hint="eastAsia" w:ascii="黑体" w:hAnsi="黑体" w:eastAsia="黑体" w:cs="黑体"/>
          <w:color w:val="auto"/>
          <w:sz w:val="32"/>
          <w:szCs w:val="32"/>
        </w:rPr>
        <w:t>研究生党建与思想政治教育工作</w:t>
      </w:r>
    </w:p>
    <w:p>
      <w:pPr>
        <w:ind w:firstLine="560" w:firstLineChars="200"/>
        <w:rPr>
          <w:rFonts w:ascii="宋体" w:hAnsi="宋体" w:eastAsia="宋体"/>
          <w:sz w:val="28"/>
          <w:szCs w:val="28"/>
        </w:rPr>
      </w:pPr>
      <w:r>
        <w:rPr>
          <w:rFonts w:hint="eastAsia" w:ascii="宋体" w:hAnsi="宋体" w:eastAsia="宋体"/>
          <w:sz w:val="28"/>
          <w:szCs w:val="28"/>
        </w:rPr>
        <w:t>学位点牢记为党育人、为国育才使命，紧紧围绕“立德树人”根本任务，秉承“笃学、求真、砺志、明德”院训，坚持党建引领，将江西红色教育资源融入课堂教学、科研项目、学术交流、实习实践等人才培养全过程，培养德才兼备的生物学高素质人才。</w:t>
      </w:r>
    </w:p>
    <w:p>
      <w:pPr>
        <w:rPr>
          <w:rFonts w:ascii="宋体" w:hAnsi="宋体" w:eastAsia="宋体"/>
          <w:b/>
          <w:bCs/>
          <w:sz w:val="28"/>
          <w:szCs w:val="28"/>
        </w:rPr>
      </w:pPr>
      <w:r>
        <w:rPr>
          <w:rFonts w:hint="eastAsia" w:ascii="宋体" w:hAnsi="宋体" w:eastAsia="宋体"/>
          <w:b/>
          <w:bCs/>
          <w:sz w:val="28"/>
          <w:szCs w:val="28"/>
        </w:rPr>
        <w:t>1.挖掘生物学课程思政元素融入课堂教学，实现课程思政全覆盖</w:t>
      </w:r>
    </w:p>
    <w:p>
      <w:pPr>
        <w:ind w:firstLine="560" w:firstLineChars="200"/>
        <w:rPr>
          <w:rFonts w:ascii="宋体" w:hAnsi="宋体" w:eastAsia="宋体"/>
          <w:sz w:val="28"/>
          <w:szCs w:val="28"/>
        </w:rPr>
      </w:pPr>
      <w:r>
        <w:rPr>
          <w:rFonts w:hint="eastAsia" w:ascii="宋体" w:hAnsi="宋体" w:eastAsia="宋体"/>
          <w:sz w:val="28"/>
          <w:szCs w:val="28"/>
        </w:rPr>
        <w:t>严格规范课堂教学管理，健全教学纪律约束机制，严把教材审核关，将思想政治教育与专业知识体系有机结合，发挥专业老师在教学过程中思想政治引领作用。在专业培养方案及教学大纲中明确“课程思政”内容和相应的教学改革计划书。</w:t>
      </w:r>
    </w:p>
    <w:p>
      <w:pPr>
        <w:rPr>
          <w:rFonts w:ascii="宋体" w:hAnsi="宋体" w:eastAsia="宋体"/>
          <w:b/>
          <w:bCs/>
          <w:sz w:val="28"/>
          <w:szCs w:val="28"/>
        </w:rPr>
      </w:pPr>
      <w:r>
        <w:rPr>
          <w:rFonts w:hint="eastAsia" w:ascii="宋体" w:hAnsi="宋体" w:eastAsia="宋体"/>
          <w:b/>
          <w:bCs/>
          <w:sz w:val="28"/>
          <w:szCs w:val="28"/>
        </w:rPr>
        <w:t>2.利用江西红土地教育资源，在服务革命老区实践中传承红色基因</w:t>
      </w:r>
    </w:p>
    <w:p>
      <w:pPr>
        <w:ind w:firstLine="560" w:firstLineChars="200"/>
        <w:rPr>
          <w:rFonts w:ascii="宋体" w:hAnsi="宋体" w:eastAsia="宋体"/>
          <w:sz w:val="28"/>
          <w:szCs w:val="28"/>
        </w:rPr>
      </w:pPr>
      <w:r>
        <w:rPr>
          <w:rFonts w:hint="eastAsia" w:ascii="宋体" w:hAnsi="宋体" w:eastAsia="宋体"/>
          <w:sz w:val="28"/>
          <w:szCs w:val="28"/>
        </w:rPr>
        <w:t>井冈山、瑞金等不仅有良好的动、植物资源，也具有不同时期革命特征，一直是本学科专业基础课植物学、动物学课程实习实践基地、学生田间地头的课堂，也是研究生为红色革命老区进行科研服务、将论文写在祖国大地上红色教育基地。与井冈山毛泽东红军学校共建“留守儿童之家”，传承中华美德，锤炼学生品德；同时鼓励学生结合个人成长成才参与基地（层）创新创业、志愿服务、公益活动等。</w:t>
      </w:r>
    </w:p>
    <w:p>
      <w:pPr>
        <w:rPr>
          <w:rFonts w:ascii="宋体" w:hAnsi="宋体" w:eastAsia="宋体"/>
          <w:b/>
          <w:bCs/>
          <w:sz w:val="28"/>
          <w:szCs w:val="28"/>
        </w:rPr>
      </w:pPr>
      <w:r>
        <w:rPr>
          <w:rFonts w:hint="eastAsia" w:ascii="宋体" w:hAnsi="宋体" w:eastAsia="宋体"/>
          <w:b/>
          <w:bCs/>
          <w:sz w:val="28"/>
          <w:szCs w:val="28"/>
        </w:rPr>
        <w:t>3.弘扬先进文化，筑牢线上线下社会主义意识形态防线</w:t>
      </w:r>
    </w:p>
    <w:p>
      <w:pPr>
        <w:ind w:firstLine="560" w:firstLineChars="200"/>
        <w:rPr>
          <w:rFonts w:ascii="宋体" w:hAnsi="宋体" w:eastAsia="宋体"/>
          <w:sz w:val="28"/>
          <w:szCs w:val="28"/>
        </w:rPr>
      </w:pPr>
      <w:r>
        <w:rPr>
          <w:rFonts w:hint="eastAsia" w:ascii="宋体" w:hAnsi="宋体" w:eastAsia="宋体"/>
          <w:sz w:val="28"/>
          <w:szCs w:val="28"/>
        </w:rPr>
        <w:t>加强宣传阵地管理，制定并严格执行信息发布“三审三校”制度，严密防范网络意识形态渗透；加强对各类报告会、研讨会、讲座、论坛以及学生社团活动的管理，建立完善课堂、讲坛等意识形态阵地管理办法；加强国际交流合作管理，建立出国交流学生的行前思政教育和沟通交流机制。弘扬先进文化，树立正确的世界观、人生观和价值观。</w:t>
      </w:r>
    </w:p>
    <w:p>
      <w:pPr>
        <w:pStyle w:val="2"/>
        <w:spacing w:line="560" w:lineRule="exact"/>
        <w:ind w:firstLine="0" w:firstLineChars="0"/>
        <w:rPr>
          <w:rFonts w:ascii="宋体" w:hAnsi="宋体" w:eastAsia="宋体"/>
          <w:sz w:val="28"/>
          <w:szCs w:val="28"/>
        </w:rPr>
      </w:pPr>
      <w:r>
        <w:rPr>
          <w:rStyle w:val="25"/>
          <w:rFonts w:hint="eastAsia" w:ascii="黑体" w:hAnsi="黑体" w:eastAsia="黑体" w:cs="黑体"/>
          <w:color w:val="FF0000"/>
          <w:sz w:val="32"/>
          <w:szCs w:val="32"/>
        </w:rPr>
        <w:t xml:space="preserve"> </w:t>
      </w:r>
      <w:r>
        <w:rPr>
          <w:rStyle w:val="25"/>
          <w:rFonts w:ascii="黑体" w:hAnsi="黑体" w:eastAsia="黑体" w:cs="黑体"/>
          <w:color w:val="FF0000"/>
          <w:sz w:val="32"/>
          <w:szCs w:val="32"/>
        </w:rPr>
        <w:t xml:space="preserve">   </w:t>
      </w:r>
      <w:r>
        <w:rPr>
          <w:rFonts w:hint="eastAsia" w:ascii="宋体" w:hAnsi="宋体" w:eastAsia="宋体"/>
          <w:sz w:val="28"/>
          <w:szCs w:val="28"/>
        </w:rPr>
        <w:t>研究生配有专职辅导员王静，同时还有兼职辅导员钟丽梅老师，有成熟完备的思想政治教育队伍；此外，各年级均成立了党支部，由教师担任支部书记，产生了如王静、崔磊磊等优秀党务工作者，每个研究生党支部均有1名党委委员负责联系，指导支部开展各项工作，加强理想信念教育。</w:t>
      </w:r>
      <w:r>
        <w:rPr>
          <w:rFonts w:hint="eastAsia" w:ascii="宋体" w:hAnsi="宋体" w:eastAsia="宋体"/>
          <w:b/>
          <w:bCs/>
          <w:sz w:val="28"/>
          <w:szCs w:val="28"/>
        </w:rPr>
        <w:t>教工第一党支部获得</w:t>
      </w:r>
      <w:r>
        <w:rPr>
          <w:rFonts w:hint="eastAsia" w:ascii="宋体" w:hAnsi="宋体" w:eastAsia="宋体"/>
          <w:b/>
          <w:bCs/>
          <w:sz w:val="28"/>
          <w:szCs w:val="28"/>
          <w:lang w:val="en-US" w:eastAsia="zh-CN"/>
        </w:rPr>
        <w:t>全国</w:t>
      </w:r>
      <w:r>
        <w:rPr>
          <w:rFonts w:hint="eastAsia" w:ascii="宋体" w:hAnsi="宋体" w:eastAsia="宋体"/>
          <w:b/>
          <w:bCs/>
          <w:sz w:val="28"/>
          <w:szCs w:val="28"/>
        </w:rPr>
        <w:t>先进基层党组织</w:t>
      </w:r>
      <w:r>
        <w:rPr>
          <w:rFonts w:hint="eastAsia" w:ascii="宋体" w:hAnsi="宋体" w:eastAsia="宋体"/>
          <w:b/>
          <w:bCs/>
          <w:sz w:val="28"/>
          <w:szCs w:val="28"/>
          <w:lang w:val="en-US" w:eastAsia="zh-CN"/>
        </w:rPr>
        <w:t>荣誉</w:t>
      </w:r>
      <w:r>
        <w:rPr>
          <w:rFonts w:hint="eastAsia" w:ascii="宋体" w:hAnsi="宋体" w:eastAsia="宋体"/>
          <w:b/>
          <w:bCs/>
          <w:sz w:val="28"/>
          <w:szCs w:val="28"/>
        </w:rPr>
        <w:t>称号。</w:t>
      </w:r>
    </w:p>
    <w:p/>
    <w:p>
      <w:pPr>
        <w:pStyle w:val="2"/>
      </w:pPr>
    </w:p>
    <w:p>
      <w:pPr>
        <w:pStyle w:val="2"/>
        <w:numPr>
          <w:ilvl w:val="0"/>
          <w:numId w:val="1"/>
        </w:numPr>
        <w:spacing w:line="560" w:lineRule="exact"/>
        <w:ind w:firstLineChars="0"/>
        <w:rPr>
          <w:rStyle w:val="25"/>
          <w:rFonts w:ascii="黑体" w:hAnsi="黑体" w:eastAsia="黑体" w:cs="黑体"/>
          <w:color w:val="auto"/>
          <w:sz w:val="32"/>
          <w:szCs w:val="32"/>
        </w:rPr>
      </w:pPr>
      <w:r>
        <w:rPr>
          <w:rStyle w:val="25"/>
          <w:rFonts w:hint="eastAsia" w:ascii="黑体" w:hAnsi="黑体" w:eastAsia="黑体" w:cs="黑体"/>
          <w:color w:val="auto"/>
          <w:sz w:val="32"/>
          <w:szCs w:val="32"/>
        </w:rPr>
        <w:t>研究生培养相关制度及执行情况</w:t>
      </w:r>
    </w:p>
    <w:p>
      <w:pPr>
        <w:pStyle w:val="2"/>
        <w:ind w:firstLine="562"/>
        <w:rPr>
          <w:rFonts w:ascii="宋体" w:hAnsi="宋体" w:eastAsia="宋体"/>
          <w:sz w:val="28"/>
          <w:szCs w:val="28"/>
        </w:rPr>
      </w:pPr>
      <w:r>
        <w:rPr>
          <w:rFonts w:ascii="宋体" w:hAnsi="宋体" w:eastAsia="宋体"/>
          <w:b/>
          <w:bCs/>
          <w:sz w:val="28"/>
          <w:szCs w:val="28"/>
        </w:rPr>
        <w:t>1.</w:t>
      </w:r>
      <w:r>
        <w:rPr>
          <w:rFonts w:hint="eastAsia" w:ascii="宋体" w:hAnsi="宋体" w:eastAsia="宋体"/>
          <w:b/>
          <w:bCs/>
          <w:sz w:val="28"/>
          <w:szCs w:val="28"/>
        </w:rPr>
        <w:t>课程建设与实施情况</w:t>
      </w:r>
      <w:r>
        <w:rPr>
          <w:rFonts w:hint="eastAsia" w:ascii="宋体" w:hAnsi="宋体" w:eastAsia="宋体"/>
          <w:sz w:val="28"/>
          <w:szCs w:val="28"/>
        </w:rPr>
        <w:t xml:space="preserve"> </w:t>
      </w:r>
    </w:p>
    <w:p>
      <w:pPr>
        <w:pStyle w:val="2"/>
        <w:ind w:firstLine="560"/>
        <w:rPr>
          <w:rFonts w:ascii="宋体" w:hAnsi="宋体" w:eastAsia="宋体"/>
          <w:sz w:val="28"/>
          <w:szCs w:val="28"/>
        </w:rPr>
      </w:pPr>
      <w:r>
        <w:rPr>
          <w:rFonts w:hint="eastAsia" w:ascii="宋体" w:hAnsi="宋体" w:eastAsia="宋体"/>
          <w:sz w:val="28"/>
          <w:szCs w:val="28"/>
        </w:rPr>
        <w:t>课程实行学分制管理，课程体系包括公共基础课、专业核心课、专业选修课、素质教育课、开题报告、中期检查、学位论文等环节组成（详见培养方案）</w:t>
      </w:r>
      <w:r>
        <w:rPr>
          <w:rFonts w:hint="eastAsia" w:ascii="宋体" w:hAnsi="宋体" w:eastAsia="宋体"/>
          <w:sz w:val="28"/>
          <w:szCs w:val="28"/>
          <w:lang w:eastAsia="zh-CN"/>
        </w:rPr>
        <w:t>，</w:t>
      </w:r>
      <w:r>
        <w:rPr>
          <w:rFonts w:hint="eastAsia" w:ascii="宋体" w:hAnsi="宋体" w:eastAsia="宋体"/>
          <w:sz w:val="28"/>
          <w:szCs w:val="28"/>
          <w:lang w:val="en-US" w:eastAsia="zh-CN"/>
        </w:rPr>
        <w:t>值得一提的是，严格各PI团队2周1次的组会制度，将组会作为课程计学分</w:t>
      </w:r>
      <w:r>
        <w:rPr>
          <w:rFonts w:hint="eastAsia" w:ascii="宋体" w:hAnsi="宋体" w:eastAsia="宋体"/>
          <w:sz w:val="28"/>
          <w:szCs w:val="28"/>
        </w:rPr>
        <w:t>。生物学博士、硕士培养方案每年修订1次，并请相关专家审核、论证。目前建有省级精品课程3门，国家级双语课程1门。</w:t>
      </w:r>
    </w:p>
    <w:p>
      <w:pPr>
        <w:widowControl/>
        <w:spacing w:line="560" w:lineRule="exact"/>
        <w:ind w:firstLine="562" w:firstLineChars="200"/>
        <w:textAlignment w:val="baseline"/>
        <w:rPr>
          <w:rFonts w:ascii="Times New Roman" w:hAnsi="Times New Roman" w:eastAsia="宋体" w:cs="Times New Roman"/>
          <w:b/>
          <w:bCs/>
          <w:color w:val="000000"/>
          <w:sz w:val="28"/>
          <w:szCs w:val="28"/>
        </w:rPr>
      </w:pPr>
      <w:r>
        <w:rPr>
          <w:rFonts w:ascii="Times New Roman" w:hAnsi="Times New Roman" w:eastAsia="宋体" w:cs="Times New Roman"/>
          <w:b/>
          <w:bCs/>
          <w:color w:val="000000"/>
          <w:sz w:val="28"/>
          <w:szCs w:val="28"/>
        </w:rPr>
        <w:t>2</w:t>
      </w:r>
      <w:r>
        <w:rPr>
          <w:rFonts w:hint="eastAsia" w:ascii="Times New Roman" w:hAnsi="Times New Roman" w:eastAsia="宋体" w:cs="Times New Roman"/>
          <w:b/>
          <w:bCs/>
          <w:color w:val="000000"/>
          <w:sz w:val="28"/>
          <w:szCs w:val="28"/>
        </w:rPr>
        <w:t>．</w:t>
      </w:r>
      <w:r>
        <w:rPr>
          <w:rFonts w:ascii="Times New Roman" w:hAnsi="Times New Roman" w:eastAsia="宋体" w:cs="Times New Roman"/>
          <w:b/>
          <w:bCs/>
          <w:color w:val="000000"/>
          <w:sz w:val="28"/>
          <w:szCs w:val="28"/>
        </w:rPr>
        <w:t>导师选拔培训</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本学位点导师队伍的选聘、培训和考核均按照《南昌大学生命科学学院硕士研究生导师遴选、上岗和招生管理办法》执行。每年上岗</w:t>
      </w:r>
      <w:r>
        <w:rPr>
          <w:rFonts w:hint="eastAsia" w:ascii="Times New Roman" w:hAnsi="Times New Roman" w:eastAsia="宋体" w:cs="Times New Roman"/>
          <w:color w:val="000000"/>
          <w:sz w:val="28"/>
          <w:szCs w:val="28"/>
        </w:rPr>
        <w:t>导师</w:t>
      </w:r>
      <w:r>
        <w:rPr>
          <w:rFonts w:ascii="Times New Roman" w:hAnsi="Times New Roman" w:eastAsia="宋体" w:cs="Times New Roman"/>
          <w:color w:val="000000"/>
          <w:sz w:val="28"/>
          <w:szCs w:val="28"/>
        </w:rPr>
        <w:t>必须经过学院</w:t>
      </w:r>
      <w:r>
        <w:rPr>
          <w:rFonts w:hint="eastAsia" w:ascii="Times New Roman" w:hAnsi="Times New Roman" w:eastAsia="宋体" w:cs="Times New Roman"/>
          <w:color w:val="000000"/>
          <w:sz w:val="28"/>
          <w:szCs w:val="28"/>
        </w:rPr>
        <w:t>学位</w:t>
      </w:r>
      <w:r>
        <w:rPr>
          <w:rFonts w:ascii="Times New Roman" w:hAnsi="Times New Roman" w:eastAsia="宋体" w:cs="Times New Roman"/>
          <w:color w:val="000000"/>
          <w:sz w:val="28"/>
          <w:szCs w:val="28"/>
        </w:rPr>
        <w:t>委员会的考核</w:t>
      </w:r>
      <w:r>
        <w:rPr>
          <w:rFonts w:hint="eastAsia" w:ascii="Times New Roman" w:hAnsi="Times New Roman" w:eastAsia="宋体" w:cs="Times New Roman"/>
          <w:color w:val="000000"/>
          <w:sz w:val="28"/>
          <w:szCs w:val="28"/>
        </w:rPr>
        <w:t>、认定</w:t>
      </w:r>
      <w:r>
        <w:rPr>
          <w:rFonts w:ascii="Times New Roman" w:hAnsi="Times New Roman" w:eastAsia="宋体" w:cs="Times New Roman"/>
          <w:color w:val="000000"/>
          <w:sz w:val="28"/>
          <w:szCs w:val="28"/>
        </w:rPr>
        <w:t>，</w:t>
      </w:r>
      <w:r>
        <w:rPr>
          <w:rFonts w:hint="eastAsia" w:ascii="Times New Roman" w:hAnsi="Times New Roman" w:eastAsia="宋体" w:cs="Times New Roman"/>
          <w:color w:val="000000"/>
          <w:sz w:val="28"/>
          <w:szCs w:val="28"/>
        </w:rPr>
        <w:t>学院特别强调，在符合带生业务基本条件的同时，若</w:t>
      </w:r>
      <w:r>
        <w:rPr>
          <w:rFonts w:ascii="Times New Roman" w:hAnsi="Times New Roman" w:eastAsia="宋体" w:cs="Times New Roman"/>
          <w:color w:val="000000"/>
          <w:sz w:val="28"/>
          <w:szCs w:val="28"/>
        </w:rPr>
        <w:t>有</w:t>
      </w:r>
      <w:r>
        <w:rPr>
          <w:rFonts w:hint="eastAsia" w:ascii="Times New Roman" w:hAnsi="Times New Roman" w:eastAsia="宋体" w:cs="Times New Roman"/>
          <w:color w:val="000000"/>
          <w:sz w:val="28"/>
          <w:szCs w:val="28"/>
        </w:rPr>
        <w:t>以下</w:t>
      </w:r>
      <w:r>
        <w:rPr>
          <w:rFonts w:ascii="Times New Roman" w:hAnsi="Times New Roman" w:eastAsia="宋体" w:cs="Times New Roman"/>
          <w:color w:val="000000"/>
          <w:sz w:val="28"/>
          <w:szCs w:val="28"/>
        </w:rPr>
        <w:t>情形之一的导师，暂停上岗招生：</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（1）学术行为不端，或师德师风等方面存在严重问题；</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（2）所指导研究生学位论文在各级抽检中出现不合格；</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（3）在教学、招生(含自主命题)和指导等工作中出现重大责任事故，或存在严重违纪、违规行为并造成不良影响；</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（4）导师招生后将研究生转由其他人指导的（正式签署协议的联合培养除外）。</w:t>
      </w:r>
    </w:p>
    <w:p>
      <w:pPr>
        <w:widowControl/>
        <w:spacing w:line="560" w:lineRule="exact"/>
        <w:ind w:firstLine="562" w:firstLineChars="200"/>
        <w:textAlignment w:val="baseline"/>
        <w:rPr>
          <w:rFonts w:ascii="Times New Roman" w:hAnsi="Times New Roman" w:eastAsia="宋体" w:cs="Times New Roman"/>
          <w:b/>
          <w:bCs/>
          <w:color w:val="000000"/>
          <w:sz w:val="28"/>
          <w:szCs w:val="28"/>
        </w:rPr>
      </w:pPr>
      <w:r>
        <w:rPr>
          <w:rFonts w:ascii="Times New Roman" w:hAnsi="Times New Roman" w:eastAsia="宋体" w:cs="Times New Roman"/>
          <w:b/>
          <w:bCs/>
          <w:color w:val="000000"/>
          <w:sz w:val="28"/>
          <w:szCs w:val="28"/>
        </w:rPr>
        <w:t>3</w:t>
      </w:r>
      <w:r>
        <w:rPr>
          <w:rFonts w:hint="eastAsia" w:ascii="Times New Roman" w:hAnsi="Times New Roman" w:eastAsia="宋体" w:cs="Times New Roman"/>
          <w:b/>
          <w:bCs/>
          <w:color w:val="000000"/>
          <w:sz w:val="28"/>
          <w:szCs w:val="28"/>
        </w:rPr>
        <w:t>．</w:t>
      </w:r>
      <w:r>
        <w:rPr>
          <w:rFonts w:ascii="Times New Roman" w:hAnsi="Times New Roman" w:eastAsia="宋体" w:cs="Times New Roman"/>
          <w:b/>
          <w:bCs/>
          <w:color w:val="000000"/>
          <w:sz w:val="28"/>
          <w:szCs w:val="28"/>
        </w:rPr>
        <w:t>师德师风建设情况</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（1）坚持党建引领，筑牢师德师风魂</w:t>
      </w:r>
    </w:p>
    <w:p>
      <w:pPr>
        <w:widowControl/>
        <w:spacing w:line="560" w:lineRule="exact"/>
        <w:ind w:firstLine="840" w:firstLineChars="3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坚持党建引领</w:t>
      </w:r>
      <w:r>
        <w:rPr>
          <w:rFonts w:hint="eastAsia" w:ascii="Times New Roman" w:hAnsi="Times New Roman" w:eastAsia="宋体" w:cs="Times New Roman"/>
          <w:color w:val="000000"/>
          <w:sz w:val="28"/>
          <w:szCs w:val="28"/>
        </w:rPr>
        <w:t>：</w:t>
      </w:r>
      <w:r>
        <w:rPr>
          <w:rFonts w:ascii="Times New Roman" w:hAnsi="Times New Roman" w:eastAsia="宋体" w:cs="Times New Roman"/>
          <w:color w:val="000000"/>
          <w:sz w:val="28"/>
          <w:szCs w:val="28"/>
        </w:rPr>
        <w:t>高举习近平新时代中国特色社会主义思想旗帜，开展党建示范引领和创先争优工作，深入实施“党建双领双同”计划，推进教工支部书记“双带头人”培育工程；制定学院教师“传-帮-带”制度，建立教师党员科研领先、科技服务的表彰机制，促进学院党建和业务互相融合、互相促进的良好局面。</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夯实制度基础</w:t>
      </w:r>
      <w:r>
        <w:rPr>
          <w:rFonts w:hint="eastAsia" w:ascii="Times New Roman" w:hAnsi="Times New Roman" w:eastAsia="宋体" w:cs="Times New Roman"/>
          <w:color w:val="000000"/>
          <w:sz w:val="28"/>
          <w:szCs w:val="28"/>
        </w:rPr>
        <w:t>：</w:t>
      </w:r>
      <w:r>
        <w:rPr>
          <w:rFonts w:ascii="Times New Roman" w:hAnsi="Times New Roman" w:eastAsia="宋体" w:cs="Times New Roman"/>
          <w:color w:val="000000"/>
          <w:sz w:val="28"/>
          <w:szCs w:val="28"/>
        </w:rPr>
        <w:t>制定《生命科学学院师德师风建设实施方案》《生命科学学院师德师风考核实施办法》《生命科学学院意识形态长效机制》等制度，</w:t>
      </w:r>
      <w:r>
        <w:rPr>
          <w:rFonts w:hint="eastAsia" w:ascii="Times New Roman" w:hAnsi="Times New Roman" w:eastAsia="宋体" w:cs="Times New Roman"/>
          <w:color w:val="000000"/>
          <w:sz w:val="28"/>
          <w:szCs w:val="28"/>
        </w:rPr>
        <w:t>根据</w:t>
      </w:r>
      <w:r>
        <w:rPr>
          <w:rFonts w:ascii="Times New Roman" w:hAnsi="Times New Roman" w:eastAsia="宋体" w:cs="Times New Roman"/>
          <w:color w:val="000000"/>
          <w:sz w:val="28"/>
          <w:szCs w:val="28"/>
        </w:rPr>
        <w:t>师德失范行为处理办法，师德考核负面清单等，建立师德师风负面处理机制，规范教师履职履责，推进师德师风建设。</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（2）强化考核监督，严把师德师风关</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发挥监督作用</w:t>
      </w:r>
      <w:r>
        <w:rPr>
          <w:rFonts w:hint="eastAsia" w:ascii="Times New Roman" w:hAnsi="Times New Roman" w:eastAsia="宋体" w:cs="Times New Roman"/>
          <w:color w:val="000000"/>
          <w:sz w:val="28"/>
          <w:szCs w:val="28"/>
        </w:rPr>
        <w:t>：</w:t>
      </w:r>
      <w:r>
        <w:rPr>
          <w:rFonts w:ascii="Times New Roman" w:hAnsi="Times New Roman" w:eastAsia="宋体" w:cs="Times New Roman"/>
          <w:color w:val="000000"/>
          <w:sz w:val="28"/>
          <w:szCs w:val="28"/>
        </w:rPr>
        <w:t>通过在网站公开学院投诉电话,在学院办公区设立投诉信箱，接受对学院教师师德师风的投诉；加强对出国教师的言行监管、定期约谈；加强对来校学术交流专家的政治审查和把关；坚持定期向学生了解教师师德师风情况等举措，严明师风师纪，划清师德红线。</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严格考核评价</w:t>
      </w:r>
      <w:r>
        <w:rPr>
          <w:rFonts w:hint="eastAsia" w:ascii="Times New Roman" w:hAnsi="Times New Roman" w:eastAsia="宋体" w:cs="Times New Roman"/>
          <w:color w:val="000000"/>
          <w:sz w:val="28"/>
          <w:szCs w:val="28"/>
        </w:rPr>
        <w:t>：</w:t>
      </w:r>
      <w:r>
        <w:rPr>
          <w:rFonts w:ascii="Times New Roman" w:hAnsi="Times New Roman" w:eastAsia="宋体" w:cs="Times New Roman"/>
          <w:color w:val="000000"/>
          <w:sz w:val="28"/>
          <w:szCs w:val="28"/>
        </w:rPr>
        <w:t>列出师德考核负面清单，将对教师的考核和学生评价结果与职称评聘、职务晋升、评奖评优、导师遴选相结合，实行师德一票否决制。</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（3）加强宣传教育，营造师德师风正气</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加强学习教育</w:t>
      </w:r>
      <w:r>
        <w:rPr>
          <w:rFonts w:hint="eastAsia" w:ascii="Times New Roman" w:hAnsi="Times New Roman" w:eastAsia="宋体" w:cs="Times New Roman"/>
          <w:color w:val="000000"/>
          <w:sz w:val="28"/>
          <w:szCs w:val="28"/>
        </w:rPr>
        <w:t>：</w:t>
      </w:r>
      <w:r>
        <w:rPr>
          <w:rFonts w:ascii="Times New Roman" w:hAnsi="Times New Roman" w:eastAsia="宋体" w:cs="Times New Roman"/>
          <w:color w:val="000000"/>
          <w:sz w:val="28"/>
          <w:szCs w:val="28"/>
        </w:rPr>
        <w:t>学院通过开展教育教学思想大讨论、教师岗前培训、入职宣誓仪式、签订师德承诺书、青年教师座谈等多种形式，推动教师参与学习考察、志愿服务、社会实践等，以学习养正气、行动立师德。</w:t>
      </w:r>
    </w:p>
    <w:p>
      <w:pPr>
        <w:pStyle w:val="2"/>
        <w:spacing w:line="560" w:lineRule="exact"/>
        <w:ind w:firstLine="0" w:firstLineChars="0"/>
        <w:rPr>
          <w:rFonts w:ascii="宋体" w:hAnsi="宋体" w:eastAsia="宋体"/>
          <w:sz w:val="28"/>
          <w:szCs w:val="28"/>
        </w:rPr>
      </w:pPr>
      <w:r>
        <w:rPr>
          <w:rFonts w:ascii="Times New Roman" w:hAnsi="Times New Roman" w:eastAsia="宋体" w:cs="Times New Roman"/>
          <w:color w:val="000000"/>
          <w:sz w:val="28"/>
          <w:szCs w:val="28"/>
        </w:rPr>
        <w:t>注重宣传表彰</w:t>
      </w:r>
      <w:r>
        <w:rPr>
          <w:rFonts w:hint="eastAsia" w:ascii="Times New Roman" w:hAnsi="Times New Roman" w:eastAsia="宋体" w:cs="Times New Roman"/>
          <w:color w:val="000000"/>
          <w:sz w:val="28"/>
          <w:szCs w:val="28"/>
        </w:rPr>
        <w:t>：</w:t>
      </w:r>
      <w:r>
        <w:rPr>
          <w:rFonts w:ascii="Times New Roman" w:hAnsi="Times New Roman" w:eastAsia="宋体" w:cs="Times New Roman"/>
          <w:color w:val="000000"/>
          <w:sz w:val="28"/>
          <w:szCs w:val="28"/>
        </w:rPr>
        <w:t>学院每年均表彰年度“十大教书育人先进个人”、“优秀共产党员”、“突出贡献奖”等典型。</w:t>
      </w:r>
      <w:r>
        <w:rPr>
          <w:rFonts w:hint="eastAsia" w:ascii="Times New Roman" w:hAnsi="Times New Roman" w:eastAsia="宋体" w:cs="Times New Roman"/>
          <w:b/>
          <w:bCs/>
          <w:color w:val="000000"/>
          <w:sz w:val="28"/>
          <w:szCs w:val="28"/>
        </w:rPr>
        <w:t>2</w:t>
      </w:r>
      <w:r>
        <w:rPr>
          <w:rFonts w:ascii="Times New Roman" w:hAnsi="Times New Roman" w:eastAsia="宋体" w:cs="Times New Roman"/>
          <w:b/>
          <w:bCs/>
          <w:color w:val="000000"/>
          <w:sz w:val="28"/>
          <w:szCs w:val="28"/>
        </w:rPr>
        <w:t>02</w:t>
      </w:r>
      <w:r>
        <w:rPr>
          <w:rFonts w:hint="eastAsia" w:ascii="Times New Roman" w:hAnsi="Times New Roman" w:eastAsia="宋体" w:cs="Times New Roman"/>
          <w:b/>
          <w:bCs/>
          <w:color w:val="000000"/>
          <w:sz w:val="28"/>
          <w:szCs w:val="28"/>
          <w:lang w:val="en-US" w:eastAsia="zh-CN"/>
        </w:rPr>
        <w:t>2</w:t>
      </w:r>
      <w:r>
        <w:rPr>
          <w:rFonts w:hint="eastAsia" w:ascii="Times New Roman" w:hAnsi="Times New Roman" w:eastAsia="宋体" w:cs="Times New Roman"/>
          <w:b/>
          <w:bCs/>
          <w:color w:val="000000"/>
          <w:sz w:val="28"/>
          <w:szCs w:val="28"/>
        </w:rPr>
        <w:t>年度，</w:t>
      </w:r>
      <w:r>
        <w:rPr>
          <w:rFonts w:hint="eastAsia" w:ascii="Times New Roman" w:hAnsi="Times New Roman" w:eastAsia="宋体" w:cs="Times New Roman"/>
          <w:b/>
          <w:bCs/>
          <w:color w:val="000000"/>
          <w:sz w:val="28"/>
          <w:szCs w:val="28"/>
          <w:lang w:val="en-US" w:eastAsia="zh-CN"/>
        </w:rPr>
        <w:t>由研究生导师组成的</w:t>
      </w:r>
      <w:r>
        <w:rPr>
          <w:rFonts w:hint="eastAsia" w:ascii="宋体" w:hAnsi="宋体" w:eastAsia="宋体"/>
          <w:b/>
          <w:bCs/>
          <w:sz w:val="28"/>
          <w:szCs w:val="28"/>
        </w:rPr>
        <w:t>教工第一党支部获得</w:t>
      </w:r>
      <w:r>
        <w:rPr>
          <w:rFonts w:hint="eastAsia" w:ascii="宋体" w:hAnsi="宋体" w:eastAsia="宋体"/>
          <w:b/>
          <w:bCs/>
          <w:sz w:val="28"/>
          <w:szCs w:val="28"/>
          <w:lang w:val="en-US" w:eastAsia="zh-CN"/>
        </w:rPr>
        <w:t>全国</w:t>
      </w:r>
      <w:r>
        <w:rPr>
          <w:rFonts w:hint="eastAsia" w:ascii="宋体" w:hAnsi="宋体" w:eastAsia="宋体"/>
          <w:b/>
          <w:bCs/>
          <w:sz w:val="28"/>
          <w:szCs w:val="28"/>
        </w:rPr>
        <w:t>先进基层党组织</w:t>
      </w:r>
      <w:r>
        <w:rPr>
          <w:rFonts w:hint="eastAsia" w:ascii="宋体" w:hAnsi="宋体" w:eastAsia="宋体"/>
          <w:b/>
          <w:bCs/>
          <w:sz w:val="28"/>
          <w:szCs w:val="28"/>
          <w:lang w:val="en-US" w:eastAsia="zh-CN"/>
        </w:rPr>
        <w:t>荣誉</w:t>
      </w:r>
      <w:r>
        <w:rPr>
          <w:rFonts w:hint="eastAsia" w:ascii="宋体" w:hAnsi="宋体" w:eastAsia="宋体"/>
          <w:b/>
          <w:bCs/>
          <w:sz w:val="28"/>
          <w:szCs w:val="28"/>
        </w:rPr>
        <w:t>称号。</w:t>
      </w:r>
    </w:p>
    <w:p>
      <w:pPr>
        <w:widowControl/>
        <w:spacing w:line="560" w:lineRule="exact"/>
        <w:ind w:firstLine="560" w:firstLineChars="200"/>
        <w:textAlignment w:val="baseline"/>
        <w:rPr>
          <w:rFonts w:ascii="Times New Roman" w:hAnsi="Times New Roman" w:eastAsia="宋体" w:cs="Times New Roman"/>
          <w:color w:val="000000"/>
          <w:sz w:val="28"/>
          <w:szCs w:val="28"/>
        </w:rPr>
      </w:pPr>
    </w:p>
    <w:p>
      <w:pPr>
        <w:widowControl/>
        <w:spacing w:line="560" w:lineRule="exact"/>
        <w:ind w:firstLine="562" w:firstLineChars="200"/>
        <w:textAlignment w:val="baseline"/>
        <w:rPr>
          <w:rFonts w:ascii="Times New Roman" w:hAnsi="Times New Roman" w:eastAsia="宋体" w:cs="Times New Roman"/>
          <w:b/>
          <w:bCs/>
          <w:color w:val="000000"/>
          <w:sz w:val="28"/>
          <w:szCs w:val="28"/>
        </w:rPr>
      </w:pPr>
      <w:r>
        <w:rPr>
          <w:rFonts w:ascii="Times New Roman" w:hAnsi="Times New Roman" w:eastAsia="宋体" w:cs="Times New Roman"/>
          <w:b/>
          <w:bCs/>
          <w:color w:val="000000"/>
          <w:sz w:val="28"/>
          <w:szCs w:val="28"/>
        </w:rPr>
        <w:t>4</w:t>
      </w:r>
      <w:r>
        <w:rPr>
          <w:rFonts w:hint="eastAsia" w:ascii="Times New Roman" w:hAnsi="Times New Roman" w:eastAsia="宋体" w:cs="Times New Roman"/>
          <w:b/>
          <w:bCs/>
          <w:color w:val="000000"/>
          <w:sz w:val="28"/>
          <w:szCs w:val="28"/>
        </w:rPr>
        <w:t>．</w:t>
      </w:r>
      <w:r>
        <w:rPr>
          <w:rFonts w:ascii="Times New Roman" w:hAnsi="Times New Roman" w:eastAsia="宋体" w:cs="Times New Roman"/>
          <w:b/>
          <w:bCs/>
          <w:color w:val="000000"/>
          <w:sz w:val="28"/>
          <w:szCs w:val="28"/>
        </w:rPr>
        <w:t>学术训练情况</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培养过程中，</w:t>
      </w:r>
      <w:r>
        <w:rPr>
          <w:rFonts w:hint="eastAsia" w:ascii="Times New Roman" w:hAnsi="Times New Roman" w:eastAsia="宋体" w:cs="Times New Roman"/>
          <w:color w:val="000000"/>
          <w:sz w:val="28"/>
          <w:szCs w:val="28"/>
        </w:rPr>
        <w:t>将</w:t>
      </w:r>
      <w:r>
        <w:rPr>
          <w:rFonts w:ascii="Times New Roman" w:hAnsi="Times New Roman" w:eastAsia="宋体" w:cs="Times New Roman"/>
          <w:color w:val="000000"/>
          <w:sz w:val="28"/>
          <w:szCs w:val="28"/>
        </w:rPr>
        <w:t>组会、学术报告等</w:t>
      </w:r>
      <w:r>
        <w:rPr>
          <w:rFonts w:hint="eastAsia" w:ascii="Times New Roman" w:hAnsi="Times New Roman" w:eastAsia="宋体" w:cs="Times New Roman"/>
          <w:color w:val="000000"/>
          <w:sz w:val="28"/>
          <w:szCs w:val="28"/>
        </w:rPr>
        <w:t>以学分的</w:t>
      </w:r>
      <w:r>
        <w:rPr>
          <w:rFonts w:ascii="Times New Roman" w:hAnsi="Times New Roman" w:eastAsia="宋体" w:cs="Times New Roman"/>
          <w:color w:val="000000"/>
          <w:sz w:val="28"/>
          <w:szCs w:val="28"/>
        </w:rPr>
        <w:t>形式</w:t>
      </w:r>
      <w:r>
        <w:rPr>
          <w:rFonts w:hint="eastAsia" w:ascii="Times New Roman" w:hAnsi="Times New Roman" w:eastAsia="宋体" w:cs="Times New Roman"/>
          <w:color w:val="000000"/>
          <w:sz w:val="28"/>
          <w:szCs w:val="28"/>
        </w:rPr>
        <w:t>写进培养方案，</w:t>
      </w:r>
      <w:r>
        <w:rPr>
          <w:rFonts w:hint="eastAsia" w:ascii="Times New Roman" w:hAnsi="Times New Roman" w:eastAsia="宋体" w:cs="Times New Roman"/>
          <w:color w:val="000000"/>
          <w:sz w:val="28"/>
          <w:szCs w:val="28"/>
          <w:lang w:val="en-US" w:eastAsia="zh-CN"/>
        </w:rPr>
        <w:t>组会计学分，</w:t>
      </w:r>
      <w:r>
        <w:rPr>
          <w:rFonts w:ascii="Times New Roman" w:hAnsi="Times New Roman" w:eastAsia="宋体" w:cs="Times New Roman"/>
          <w:color w:val="000000"/>
          <w:sz w:val="28"/>
          <w:szCs w:val="28"/>
        </w:rPr>
        <w:t>在学期间要求至少参加</w:t>
      </w:r>
      <w:r>
        <w:rPr>
          <w:rFonts w:hint="eastAsia" w:ascii="Times New Roman" w:hAnsi="Times New Roman" w:eastAsia="宋体" w:cs="Times New Roman"/>
          <w:color w:val="000000"/>
          <w:sz w:val="28"/>
          <w:szCs w:val="28"/>
        </w:rPr>
        <w:t>2</w:t>
      </w:r>
      <w:r>
        <w:rPr>
          <w:rFonts w:ascii="Times New Roman" w:hAnsi="Times New Roman" w:eastAsia="宋体" w:cs="Times New Roman"/>
          <w:color w:val="000000"/>
          <w:sz w:val="28"/>
          <w:szCs w:val="28"/>
        </w:rPr>
        <w:t>0次学术活动（其中至少做3次报告），并填写《南昌大学研究生学术活动记录册》，经导师考查合格，给予学分，并存入</w:t>
      </w:r>
      <w:r>
        <w:rPr>
          <w:rFonts w:hint="eastAsia" w:ascii="Times New Roman" w:hAnsi="Times New Roman" w:eastAsia="宋体" w:cs="Times New Roman"/>
          <w:color w:val="000000"/>
          <w:sz w:val="28"/>
          <w:szCs w:val="28"/>
        </w:rPr>
        <w:t>研究</w:t>
      </w:r>
      <w:r>
        <w:rPr>
          <w:rFonts w:ascii="Times New Roman" w:hAnsi="Times New Roman" w:eastAsia="宋体" w:cs="Times New Roman"/>
          <w:color w:val="000000"/>
          <w:sz w:val="28"/>
          <w:szCs w:val="28"/>
        </w:rPr>
        <w:t>生业务档案。必须参加</w:t>
      </w:r>
      <w:r>
        <w:rPr>
          <w:rFonts w:hint="eastAsia" w:ascii="Times New Roman" w:hAnsi="Times New Roman" w:eastAsia="宋体" w:cs="Times New Roman"/>
          <w:color w:val="000000"/>
          <w:sz w:val="28"/>
          <w:szCs w:val="28"/>
        </w:rPr>
        <w:t>3</w:t>
      </w:r>
      <w:r>
        <w:rPr>
          <w:rFonts w:ascii="Times New Roman" w:hAnsi="Times New Roman" w:eastAsia="宋体" w:cs="Times New Roman"/>
          <w:color w:val="000000"/>
          <w:sz w:val="28"/>
          <w:szCs w:val="28"/>
        </w:rPr>
        <w:t>次学术会议，公开作1次学术报告</w:t>
      </w:r>
      <w:r>
        <w:rPr>
          <w:rFonts w:hint="eastAsia" w:ascii="Times New Roman" w:hAnsi="Times New Roman" w:eastAsia="宋体" w:cs="Times New Roman"/>
          <w:color w:val="000000"/>
          <w:sz w:val="28"/>
          <w:szCs w:val="28"/>
        </w:rPr>
        <w:t>；</w:t>
      </w:r>
      <w:r>
        <w:rPr>
          <w:rFonts w:ascii="Times New Roman" w:hAnsi="Times New Roman" w:eastAsia="宋体" w:cs="Times New Roman"/>
          <w:color w:val="000000"/>
          <w:sz w:val="28"/>
          <w:szCs w:val="28"/>
        </w:rPr>
        <w:t>目前已</w:t>
      </w:r>
      <w:r>
        <w:rPr>
          <w:rFonts w:hint="eastAsia" w:ascii="Times New Roman" w:hAnsi="Times New Roman" w:eastAsia="宋体" w:cs="Times New Roman"/>
          <w:color w:val="000000"/>
          <w:sz w:val="28"/>
          <w:szCs w:val="28"/>
        </w:rPr>
        <w:t>半数以上</w:t>
      </w:r>
      <w:r>
        <w:rPr>
          <w:rFonts w:ascii="Times New Roman" w:hAnsi="Times New Roman" w:eastAsia="宋体" w:cs="Times New Roman"/>
          <w:color w:val="000000"/>
          <w:sz w:val="28"/>
          <w:szCs w:val="28"/>
        </w:rPr>
        <w:t>同学在相关学术会上做分会报告，取得了良好的效果。除此之外，每位同学在各自组会上均对自己的工作做了汇报和交流。</w:t>
      </w:r>
    </w:p>
    <w:p>
      <w:pPr>
        <w:widowControl/>
        <w:spacing w:line="560" w:lineRule="exact"/>
        <w:ind w:firstLine="562" w:firstLineChars="200"/>
        <w:textAlignment w:val="baseline"/>
        <w:rPr>
          <w:rFonts w:ascii="Times New Roman" w:hAnsi="Times New Roman" w:eastAsia="宋体" w:cs="Times New Roman"/>
          <w:b/>
          <w:bCs/>
          <w:color w:val="000000"/>
          <w:sz w:val="28"/>
          <w:szCs w:val="28"/>
        </w:rPr>
      </w:pPr>
      <w:r>
        <w:rPr>
          <w:rFonts w:ascii="Times New Roman" w:hAnsi="Times New Roman" w:eastAsia="宋体" w:cs="Times New Roman"/>
          <w:b/>
          <w:bCs/>
          <w:color w:val="000000"/>
          <w:sz w:val="28"/>
          <w:szCs w:val="28"/>
        </w:rPr>
        <w:t>5</w:t>
      </w:r>
      <w:r>
        <w:rPr>
          <w:rFonts w:hint="eastAsia" w:ascii="Times New Roman" w:hAnsi="Times New Roman" w:eastAsia="宋体" w:cs="Times New Roman"/>
          <w:b/>
          <w:bCs/>
          <w:color w:val="000000"/>
          <w:sz w:val="28"/>
          <w:szCs w:val="28"/>
        </w:rPr>
        <w:t>．</w:t>
      </w:r>
      <w:r>
        <w:rPr>
          <w:rFonts w:ascii="Times New Roman" w:hAnsi="Times New Roman" w:eastAsia="宋体" w:cs="Times New Roman"/>
          <w:b/>
          <w:bCs/>
          <w:color w:val="000000"/>
          <w:sz w:val="28"/>
          <w:szCs w:val="28"/>
        </w:rPr>
        <w:t>学术交流情况</w:t>
      </w:r>
    </w:p>
    <w:p>
      <w:pPr>
        <w:widowControl/>
        <w:spacing w:line="560" w:lineRule="exact"/>
        <w:ind w:firstLine="560" w:firstLineChars="200"/>
        <w:textAlignment w:val="baseline"/>
        <w:rPr>
          <w:rFonts w:hint="eastAsia" w:ascii="Times New Roman" w:hAnsi="Times New Roman" w:eastAsia="宋体" w:cs="Times New Roman"/>
          <w:color w:val="000000"/>
          <w:sz w:val="28"/>
          <w:szCs w:val="28"/>
        </w:rPr>
      </w:pPr>
      <w:r>
        <w:rPr>
          <w:rFonts w:ascii="Times New Roman" w:hAnsi="Times New Roman" w:eastAsia="宋体" w:cs="Times New Roman"/>
          <w:color w:val="000000"/>
          <w:sz w:val="28"/>
          <w:szCs w:val="28"/>
        </w:rPr>
        <w:t>学位点一直鼓励</w:t>
      </w:r>
      <w:r>
        <w:rPr>
          <w:rFonts w:hint="eastAsia" w:ascii="Times New Roman" w:hAnsi="Times New Roman" w:eastAsia="宋体" w:cs="Times New Roman"/>
          <w:color w:val="000000"/>
          <w:sz w:val="28"/>
          <w:szCs w:val="28"/>
        </w:rPr>
        <w:t>研究生</w:t>
      </w:r>
      <w:r>
        <w:rPr>
          <w:rFonts w:ascii="Times New Roman" w:hAnsi="Times New Roman" w:eastAsia="宋体" w:cs="Times New Roman"/>
          <w:color w:val="000000"/>
          <w:sz w:val="28"/>
          <w:szCs w:val="28"/>
        </w:rPr>
        <w:t>参加</w:t>
      </w:r>
      <w:r>
        <w:rPr>
          <w:rFonts w:hint="eastAsia" w:ascii="Times New Roman" w:hAnsi="Times New Roman" w:eastAsia="宋体" w:cs="Times New Roman"/>
          <w:color w:val="000000"/>
          <w:sz w:val="28"/>
          <w:szCs w:val="28"/>
        </w:rPr>
        <w:t>国内外</w:t>
      </w:r>
      <w:r>
        <w:rPr>
          <w:rFonts w:ascii="Times New Roman" w:hAnsi="Times New Roman" w:eastAsia="宋体" w:cs="Times New Roman"/>
          <w:color w:val="000000"/>
          <w:sz w:val="28"/>
          <w:szCs w:val="28"/>
        </w:rPr>
        <w:t>各种相关学术</w:t>
      </w:r>
      <w:r>
        <w:rPr>
          <w:rFonts w:hint="eastAsia" w:ascii="Times New Roman" w:hAnsi="Times New Roman" w:eastAsia="宋体" w:cs="Times New Roman"/>
          <w:color w:val="000000"/>
          <w:sz w:val="28"/>
          <w:szCs w:val="28"/>
        </w:rPr>
        <w:t>会议及</w:t>
      </w:r>
      <w:r>
        <w:rPr>
          <w:rFonts w:ascii="Times New Roman" w:hAnsi="Times New Roman" w:eastAsia="宋体" w:cs="Times New Roman"/>
          <w:color w:val="000000"/>
          <w:sz w:val="28"/>
          <w:szCs w:val="28"/>
        </w:rPr>
        <w:t>交流活动，如</w:t>
      </w:r>
      <w:r>
        <w:rPr>
          <w:rFonts w:hint="eastAsia" w:ascii="Times New Roman" w:hAnsi="Times New Roman" w:eastAsia="宋体" w:cs="Times New Roman"/>
          <w:color w:val="000000"/>
          <w:sz w:val="28"/>
          <w:szCs w:val="28"/>
        </w:rPr>
        <w:t>国际蛛形学会、</w:t>
      </w:r>
      <w:r>
        <w:rPr>
          <w:rFonts w:ascii="Times New Roman" w:hAnsi="Times New Roman" w:eastAsia="宋体" w:cs="Times New Roman"/>
          <w:color w:val="000000"/>
          <w:sz w:val="28"/>
          <w:szCs w:val="28"/>
        </w:rPr>
        <w:t>中国</w:t>
      </w:r>
      <w:r>
        <w:rPr>
          <w:rFonts w:hint="eastAsia" w:ascii="Times New Roman" w:hAnsi="Times New Roman" w:eastAsia="宋体" w:cs="Times New Roman"/>
          <w:color w:val="000000"/>
          <w:sz w:val="28"/>
          <w:szCs w:val="28"/>
        </w:rPr>
        <w:t>动物</w:t>
      </w:r>
      <w:r>
        <w:rPr>
          <w:rFonts w:ascii="Times New Roman" w:hAnsi="Times New Roman" w:eastAsia="宋体" w:cs="Times New Roman"/>
          <w:color w:val="000000"/>
          <w:sz w:val="28"/>
          <w:szCs w:val="28"/>
        </w:rPr>
        <w:t>学会年会、中国</w:t>
      </w:r>
      <w:r>
        <w:rPr>
          <w:rFonts w:hint="eastAsia" w:ascii="Times New Roman" w:hAnsi="Times New Roman" w:eastAsia="宋体" w:cs="Times New Roman"/>
          <w:color w:val="000000"/>
          <w:sz w:val="28"/>
          <w:szCs w:val="28"/>
        </w:rPr>
        <w:t>植物</w:t>
      </w:r>
      <w:r>
        <w:rPr>
          <w:rFonts w:ascii="Times New Roman" w:hAnsi="Times New Roman" w:eastAsia="宋体" w:cs="Times New Roman"/>
          <w:color w:val="000000"/>
          <w:sz w:val="28"/>
          <w:szCs w:val="28"/>
        </w:rPr>
        <w:t>学会</w:t>
      </w:r>
      <w:r>
        <w:rPr>
          <w:rFonts w:hint="eastAsia" w:ascii="Times New Roman" w:hAnsi="Times New Roman" w:eastAsia="宋体" w:cs="Times New Roman"/>
          <w:color w:val="000000"/>
          <w:sz w:val="28"/>
          <w:szCs w:val="28"/>
        </w:rPr>
        <w:t>年会</w:t>
      </w:r>
      <w:r>
        <w:rPr>
          <w:rFonts w:ascii="Times New Roman" w:hAnsi="Times New Roman" w:eastAsia="宋体" w:cs="Times New Roman"/>
          <w:color w:val="000000"/>
          <w:sz w:val="28"/>
          <w:szCs w:val="28"/>
        </w:rPr>
        <w:t>、中国</w:t>
      </w:r>
      <w:r>
        <w:rPr>
          <w:rFonts w:hint="eastAsia" w:ascii="Times New Roman" w:hAnsi="Times New Roman" w:eastAsia="宋体" w:cs="Times New Roman"/>
          <w:color w:val="000000"/>
          <w:sz w:val="28"/>
          <w:szCs w:val="28"/>
        </w:rPr>
        <w:t>昆虫</w:t>
      </w:r>
      <w:r>
        <w:rPr>
          <w:rFonts w:ascii="Times New Roman" w:hAnsi="Times New Roman" w:eastAsia="宋体" w:cs="Times New Roman"/>
          <w:color w:val="000000"/>
          <w:sz w:val="28"/>
          <w:szCs w:val="28"/>
        </w:rPr>
        <w:t>学会</w:t>
      </w:r>
      <w:r>
        <w:rPr>
          <w:rFonts w:hint="eastAsia" w:ascii="Times New Roman" w:hAnsi="Times New Roman" w:eastAsia="宋体" w:cs="Times New Roman"/>
          <w:color w:val="000000"/>
          <w:sz w:val="28"/>
          <w:szCs w:val="28"/>
        </w:rPr>
        <w:t>年会</w:t>
      </w:r>
      <w:r>
        <w:rPr>
          <w:rFonts w:ascii="Times New Roman" w:hAnsi="Times New Roman" w:eastAsia="宋体" w:cs="Times New Roman"/>
          <w:color w:val="000000"/>
          <w:sz w:val="28"/>
          <w:szCs w:val="28"/>
        </w:rPr>
        <w:t>、中国</w:t>
      </w:r>
      <w:r>
        <w:rPr>
          <w:rFonts w:hint="eastAsia" w:ascii="Times New Roman" w:hAnsi="Times New Roman" w:eastAsia="宋体" w:cs="Times New Roman"/>
          <w:color w:val="000000"/>
          <w:sz w:val="28"/>
          <w:szCs w:val="28"/>
        </w:rPr>
        <w:t>微生物</w:t>
      </w:r>
      <w:r>
        <w:rPr>
          <w:rFonts w:ascii="Times New Roman" w:hAnsi="Times New Roman" w:eastAsia="宋体" w:cs="Times New Roman"/>
          <w:color w:val="000000"/>
          <w:sz w:val="28"/>
          <w:szCs w:val="28"/>
        </w:rPr>
        <w:t>学会</w:t>
      </w:r>
      <w:r>
        <w:rPr>
          <w:rFonts w:hint="eastAsia" w:ascii="Times New Roman" w:hAnsi="Times New Roman" w:eastAsia="宋体" w:cs="Times New Roman"/>
          <w:color w:val="000000"/>
          <w:sz w:val="28"/>
          <w:szCs w:val="28"/>
        </w:rPr>
        <w:t>年会</w:t>
      </w:r>
      <w:r>
        <w:rPr>
          <w:rFonts w:ascii="Times New Roman" w:hAnsi="Times New Roman" w:eastAsia="宋体" w:cs="Times New Roman"/>
          <w:color w:val="000000"/>
          <w:sz w:val="28"/>
          <w:szCs w:val="28"/>
        </w:rPr>
        <w:t>、全国</w:t>
      </w:r>
      <w:r>
        <w:rPr>
          <w:rFonts w:hint="eastAsia" w:ascii="Times New Roman" w:hAnsi="Times New Roman" w:eastAsia="宋体" w:cs="Times New Roman"/>
          <w:color w:val="000000"/>
          <w:sz w:val="28"/>
          <w:szCs w:val="28"/>
        </w:rPr>
        <w:t>衰老与健康</w:t>
      </w:r>
      <w:r>
        <w:rPr>
          <w:rFonts w:ascii="Times New Roman" w:hAnsi="Times New Roman" w:eastAsia="宋体" w:cs="Times New Roman"/>
          <w:color w:val="000000"/>
          <w:sz w:val="28"/>
          <w:szCs w:val="28"/>
        </w:rPr>
        <w:t>学会</w:t>
      </w:r>
      <w:r>
        <w:rPr>
          <w:rFonts w:hint="eastAsia" w:ascii="Times New Roman" w:hAnsi="Times New Roman" w:eastAsia="宋体" w:cs="Times New Roman"/>
          <w:color w:val="000000"/>
          <w:sz w:val="28"/>
          <w:szCs w:val="28"/>
        </w:rPr>
        <w:t>年会</w:t>
      </w:r>
      <w:r>
        <w:rPr>
          <w:rFonts w:ascii="Times New Roman" w:hAnsi="Times New Roman" w:eastAsia="宋体" w:cs="Times New Roman"/>
          <w:color w:val="000000"/>
          <w:sz w:val="28"/>
          <w:szCs w:val="28"/>
        </w:rPr>
        <w:t>等</w:t>
      </w:r>
      <w:r>
        <w:rPr>
          <w:rFonts w:hint="eastAsia" w:ascii="Times New Roman" w:hAnsi="Times New Roman" w:eastAsia="宋体" w:cs="Times New Roman"/>
          <w:color w:val="000000"/>
          <w:sz w:val="28"/>
          <w:szCs w:val="28"/>
        </w:rPr>
        <w:t>；学院学术交流活跃，由研究生参与的“菁英论坛”已连续举办了</w:t>
      </w:r>
      <w:r>
        <w:rPr>
          <w:rFonts w:hint="eastAsia" w:ascii="Times New Roman" w:hAnsi="Times New Roman" w:eastAsia="宋体" w:cs="Times New Roman"/>
          <w:color w:val="000000"/>
          <w:sz w:val="28"/>
          <w:szCs w:val="28"/>
          <w:lang w:val="en-US" w:eastAsia="zh-CN"/>
        </w:rPr>
        <w:t>4</w:t>
      </w:r>
      <w:r>
        <w:rPr>
          <w:rFonts w:hint="eastAsia" w:ascii="Times New Roman" w:hAnsi="Times New Roman" w:eastAsia="宋体" w:cs="Times New Roman"/>
          <w:color w:val="000000"/>
          <w:sz w:val="28"/>
          <w:szCs w:val="28"/>
        </w:rPr>
        <w:t>届。</w:t>
      </w:r>
    </w:p>
    <w:p>
      <w:pPr>
        <w:widowControl/>
        <w:spacing w:line="560" w:lineRule="exact"/>
        <w:ind w:firstLine="562" w:firstLineChars="200"/>
        <w:textAlignment w:val="baseline"/>
        <w:rPr>
          <w:rFonts w:ascii="Times New Roman" w:hAnsi="Times New Roman" w:eastAsia="宋体" w:cs="Times New Roman"/>
          <w:b/>
          <w:bCs/>
          <w:color w:val="000000"/>
          <w:sz w:val="28"/>
          <w:szCs w:val="28"/>
        </w:rPr>
      </w:pPr>
      <w:r>
        <w:rPr>
          <w:rFonts w:ascii="Times New Roman" w:hAnsi="Times New Roman" w:eastAsia="宋体" w:cs="Times New Roman"/>
          <w:b/>
          <w:bCs/>
          <w:color w:val="000000"/>
          <w:sz w:val="28"/>
          <w:szCs w:val="28"/>
        </w:rPr>
        <w:t>6</w:t>
      </w:r>
      <w:r>
        <w:rPr>
          <w:rFonts w:hint="eastAsia" w:ascii="Times New Roman" w:hAnsi="Times New Roman" w:eastAsia="宋体" w:cs="Times New Roman"/>
          <w:b/>
          <w:bCs/>
          <w:color w:val="000000"/>
          <w:sz w:val="28"/>
          <w:szCs w:val="28"/>
        </w:rPr>
        <w:t>．</w:t>
      </w:r>
      <w:r>
        <w:rPr>
          <w:rFonts w:ascii="Times New Roman" w:hAnsi="Times New Roman" w:eastAsia="宋体" w:cs="Times New Roman"/>
          <w:b/>
          <w:bCs/>
          <w:color w:val="000000"/>
          <w:sz w:val="28"/>
          <w:szCs w:val="28"/>
        </w:rPr>
        <w:t>研究生奖助情况</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制度建设：为了鼓励研究生更好的学习和科研，学位点根据学校学院制定的相关制度进行奖评。主要制度包括《生命科学学院研究生奖学金学术成果认定及综合得分计算办法》、《硕士研究生学业奖学金首次评定办法》、《硕士研究生学业奖学金首次评定办法》、《硕士研究生学业奖学金二次评定综合成绩计算办法》、《硕士研究生学业奖学金末次评定综合成绩计算办法》等。</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奖助体系：本学位点按照南昌大学研究生奖助学金体系进行奖助。该体系主要包括研究生国家奖学金、江西省政府研究生奖学金、研究生国家助学金、研究生学业奖学金、研究生高水平科研成果奖、研究生优秀奖学金、研究生专项奖学金、研究生助研金、研究生助贷金、研究生困难补助金等十类奖助项目组成。上述奖助学金分别按不同等级、不同比例设定。</w:t>
      </w:r>
      <w:r>
        <w:rPr>
          <w:rFonts w:hint="eastAsia" w:ascii="宋体" w:hAnsi="宋体" w:eastAsia="宋体"/>
          <w:sz w:val="28"/>
          <w:szCs w:val="28"/>
        </w:rPr>
        <w:t>学业奖学金分为特等、一等、二等，覆盖面100%；国家奖学金、省政府奖学金、其它奖学金，奖励优秀在校生，获奖面15%。</w:t>
      </w:r>
    </w:p>
    <w:p>
      <w:pPr>
        <w:widowControl/>
        <w:spacing w:line="560" w:lineRule="exact"/>
        <w:textAlignment w:val="baseline"/>
        <w:rPr>
          <w:rStyle w:val="25"/>
          <w:rFonts w:ascii="黑体" w:hAnsi="黑体" w:eastAsia="黑体" w:cs="黑体"/>
          <w:sz w:val="32"/>
          <w:szCs w:val="32"/>
        </w:rPr>
      </w:pPr>
    </w:p>
    <w:p>
      <w:pPr>
        <w:widowControl/>
        <w:numPr>
          <w:ilvl w:val="0"/>
          <w:numId w:val="1"/>
        </w:numPr>
        <w:spacing w:line="560" w:lineRule="exact"/>
        <w:textAlignment w:val="baseline"/>
        <w:rPr>
          <w:rStyle w:val="25"/>
          <w:rFonts w:ascii="黑体" w:hAnsi="黑体" w:eastAsia="黑体" w:cs="黑体"/>
          <w:sz w:val="32"/>
          <w:szCs w:val="32"/>
        </w:rPr>
      </w:pPr>
      <w:r>
        <w:rPr>
          <w:rStyle w:val="25"/>
          <w:rFonts w:hint="eastAsia" w:ascii="黑体" w:hAnsi="黑体" w:eastAsia="黑体" w:cs="黑体"/>
          <w:sz w:val="32"/>
          <w:szCs w:val="32"/>
        </w:rPr>
        <w:t>研究生教育改革情况</w:t>
      </w:r>
    </w:p>
    <w:p>
      <w:pPr>
        <w:pStyle w:val="2"/>
        <w:ind w:firstLine="562"/>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1．人才培养</w:t>
      </w:r>
    </w:p>
    <w:p>
      <w:pPr>
        <w:widowControl/>
        <w:spacing w:line="560" w:lineRule="exact"/>
        <w:ind w:firstLine="560" w:firstLineChars="200"/>
        <w:textAlignment w:val="baseline"/>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贯彻“面向世界、面向未来、面向现代化”的教育思想，坚持知识、能力、素质的协调统一，注重学生的个性发展和特长发挥，致力于培养学生的创新能力、就业能力和创新能力，构建具有自身特色的人才培养模式。</w:t>
      </w:r>
    </w:p>
    <w:p>
      <w:pPr>
        <w:widowControl/>
        <w:spacing w:line="560" w:lineRule="exact"/>
        <w:ind w:firstLine="560" w:firstLineChars="200"/>
        <w:textAlignment w:val="baseline"/>
        <w:rPr>
          <w:rFonts w:ascii="Times New Roman" w:hAnsi="Times New Roman" w:eastAsia="宋体" w:cs="Times New Roman"/>
          <w:sz w:val="28"/>
          <w:szCs w:val="28"/>
        </w:rPr>
      </w:pPr>
      <w:r>
        <w:rPr>
          <w:rFonts w:hint="eastAsia" w:ascii="Times New Roman" w:hAnsi="Times New Roman" w:eastAsia="宋体" w:cs="Times New Roman"/>
          <w:sz w:val="28"/>
          <w:szCs w:val="28"/>
        </w:rPr>
        <w:t>以学科建设为中心，以学位点建设为基础，通过对学科学位点的“扬优、支重、该老、扶新”，合理配置资源，进一步优化学科专业结构，形成学科与专业的有机结合、协调发展的新局面。</w:t>
      </w:r>
    </w:p>
    <w:p>
      <w:pPr>
        <w:widowControl/>
        <w:spacing w:line="560" w:lineRule="exact"/>
        <w:ind w:firstLine="560" w:firstLineChars="200"/>
        <w:textAlignment w:val="baseline"/>
        <w:rPr>
          <w:rFonts w:ascii="Times New Roman" w:hAnsi="Times New Roman" w:eastAsia="宋体" w:cs="Times New Roman"/>
          <w:sz w:val="28"/>
          <w:szCs w:val="28"/>
        </w:rPr>
      </w:pPr>
      <w:r>
        <w:rPr>
          <w:rFonts w:hint="eastAsia" w:ascii="Times New Roman" w:hAnsi="Times New Roman" w:eastAsia="宋体" w:cs="Times New Roman"/>
          <w:sz w:val="28"/>
          <w:szCs w:val="28"/>
        </w:rPr>
        <w:t>深化教育教学改革，打破原来按单一学科设课的方式，利用相关学科的教学、实验平台进行整合，形成模块化、立体式实践教学体系，通过交叉学科的实验、实践课程，开阔视野，训练动手能力，促进学生知识、能力、思维和素质的全面培养。</w:t>
      </w:r>
    </w:p>
    <w:p>
      <w:pPr>
        <w:widowControl/>
        <w:spacing w:line="560" w:lineRule="exact"/>
        <w:ind w:firstLine="560" w:firstLineChars="200"/>
        <w:textAlignment w:val="baseline"/>
        <w:rPr>
          <w:rFonts w:ascii="Times New Roman" w:hAnsi="Times New Roman" w:eastAsia="宋体" w:cs="Times New Roman"/>
          <w:b w:val="0"/>
          <w:bCs w:val="0"/>
          <w:sz w:val="28"/>
          <w:szCs w:val="28"/>
        </w:rPr>
      </w:pPr>
      <w:r>
        <w:rPr>
          <w:rFonts w:hint="eastAsia" w:ascii="宋体" w:hAnsi="宋体" w:eastAsia="宋体"/>
          <w:color w:val="000000"/>
          <w:sz w:val="28"/>
          <w:szCs w:val="28"/>
        </w:rPr>
        <w:t>注重研究生创新创业能力的培养。</w:t>
      </w:r>
      <w:r>
        <w:rPr>
          <w:rFonts w:hint="eastAsia" w:ascii="宋体" w:hAnsi="宋体" w:eastAsia="宋体"/>
          <w:b/>
          <w:bCs/>
          <w:color w:val="000000"/>
          <w:sz w:val="28"/>
          <w:szCs w:val="28"/>
        </w:rPr>
        <w:t>博士研究生王宏燕</w:t>
      </w:r>
      <w:r>
        <w:rPr>
          <w:rFonts w:hint="eastAsia" w:ascii="宋体" w:hAnsi="宋体" w:eastAsia="宋体"/>
          <w:b/>
          <w:bCs/>
          <w:color w:val="000000"/>
          <w:sz w:val="28"/>
          <w:szCs w:val="28"/>
          <w:lang w:val="en-US" w:eastAsia="zh-CN"/>
        </w:rPr>
        <w:t>获2022年度“十佳江西省创业之星”</w:t>
      </w:r>
      <w:r>
        <w:rPr>
          <w:rFonts w:hint="eastAsia" w:ascii="宋体" w:hAnsi="宋体" w:eastAsia="宋体"/>
          <w:b w:val="0"/>
          <w:bCs w:val="0"/>
          <w:color w:val="000000"/>
          <w:sz w:val="28"/>
          <w:szCs w:val="28"/>
          <w:lang w:val="en-US" w:eastAsia="zh-CN"/>
        </w:rPr>
        <w:t>，</w:t>
      </w:r>
      <w:r>
        <w:rPr>
          <w:rFonts w:hint="eastAsia" w:ascii="宋体" w:hAnsi="宋体" w:eastAsia="宋体"/>
          <w:b w:val="0"/>
          <w:bCs w:val="0"/>
          <w:color w:val="000000"/>
          <w:sz w:val="28"/>
          <w:szCs w:val="28"/>
        </w:rPr>
        <w:t>以博士研究生</w:t>
      </w:r>
      <w:r>
        <w:rPr>
          <w:rFonts w:hint="eastAsia" w:ascii="宋体" w:hAnsi="宋体" w:eastAsia="宋体"/>
          <w:b w:val="0"/>
          <w:bCs w:val="0"/>
          <w:color w:val="000000"/>
          <w:sz w:val="28"/>
          <w:szCs w:val="28"/>
          <w:lang w:val="en-US" w:eastAsia="zh-CN"/>
        </w:rPr>
        <w:t>主要</w:t>
      </w:r>
      <w:r>
        <w:rPr>
          <w:rFonts w:hint="eastAsia" w:ascii="宋体" w:hAnsi="宋体" w:eastAsia="宋体"/>
          <w:b w:val="0"/>
          <w:bCs w:val="0"/>
          <w:color w:val="000000"/>
          <w:sz w:val="28"/>
          <w:szCs w:val="28"/>
        </w:rPr>
        <w:t>团队成员获第七届“中国国际互联网+大学生创新创业大赛”金奖2项。</w:t>
      </w:r>
    </w:p>
    <w:p>
      <w:pPr>
        <w:widowControl/>
        <w:spacing w:line="560" w:lineRule="exact"/>
        <w:ind w:firstLine="562" w:firstLineChars="200"/>
        <w:textAlignment w:val="baseline"/>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2．教师队伍建设</w:t>
      </w:r>
    </w:p>
    <w:p>
      <w:pPr>
        <w:widowControl/>
        <w:spacing w:line="560" w:lineRule="exact"/>
        <w:ind w:firstLine="560" w:firstLineChars="200"/>
        <w:textAlignment w:val="baseline"/>
        <w:rPr>
          <w:rFonts w:ascii="Times New Roman" w:hAnsi="Times New Roman" w:eastAsia="宋体" w:cs="Times New Roman"/>
          <w:sz w:val="28"/>
          <w:szCs w:val="28"/>
        </w:rPr>
      </w:pPr>
      <w:r>
        <w:rPr>
          <w:rFonts w:hint="eastAsia" w:ascii="Times New Roman" w:hAnsi="Times New Roman" w:eastAsia="宋体" w:cs="Times New Roman"/>
          <w:sz w:val="28"/>
          <w:szCs w:val="28"/>
        </w:rPr>
        <w:t>通过引进杰出人才、培养优秀人才、突出建设重点、改进工作方法等，建立了一只年龄结构、知识结构、专业结构合理的具有国际竞争力的优秀学术团队。</w:t>
      </w:r>
    </w:p>
    <w:p>
      <w:pPr>
        <w:pStyle w:val="2"/>
        <w:spacing w:line="560" w:lineRule="exact"/>
        <w:ind w:firstLine="560"/>
        <w:rPr>
          <w:rFonts w:ascii="宋体" w:hAnsi="宋体" w:eastAsia="宋体"/>
          <w:color w:val="auto"/>
          <w:sz w:val="28"/>
          <w:szCs w:val="28"/>
        </w:rPr>
      </w:pPr>
      <w:r>
        <w:rPr>
          <w:rFonts w:hint="eastAsia" w:ascii="宋体" w:hAnsi="宋体" w:eastAsia="宋体"/>
          <w:color w:val="auto"/>
          <w:sz w:val="28"/>
          <w:szCs w:val="28"/>
        </w:rPr>
        <w:t>目前有专任教师</w:t>
      </w:r>
      <w:r>
        <w:rPr>
          <w:rFonts w:ascii="宋体" w:hAnsi="宋体" w:eastAsia="宋体"/>
          <w:color w:val="auto"/>
          <w:sz w:val="28"/>
          <w:szCs w:val="28"/>
        </w:rPr>
        <w:t>59</w:t>
      </w:r>
      <w:r>
        <w:rPr>
          <w:rFonts w:hint="eastAsia" w:ascii="宋体" w:hAnsi="宋体" w:eastAsia="宋体"/>
          <w:color w:val="auto"/>
          <w:sz w:val="28"/>
          <w:szCs w:val="28"/>
        </w:rPr>
        <w:t>人，其中正高</w:t>
      </w:r>
      <w:r>
        <w:rPr>
          <w:rFonts w:ascii="宋体" w:hAnsi="宋体" w:eastAsia="宋体"/>
          <w:color w:val="auto"/>
          <w:sz w:val="28"/>
          <w:szCs w:val="28"/>
        </w:rPr>
        <w:t>31</w:t>
      </w:r>
      <w:r>
        <w:rPr>
          <w:rFonts w:hint="eastAsia" w:ascii="宋体" w:hAnsi="宋体" w:eastAsia="宋体"/>
          <w:color w:val="auto"/>
          <w:sz w:val="28"/>
          <w:szCs w:val="28"/>
        </w:rPr>
        <w:t>人，副高</w:t>
      </w:r>
      <w:r>
        <w:rPr>
          <w:rFonts w:hint="eastAsia" w:ascii="宋体" w:hAnsi="宋体" w:eastAsia="宋体"/>
          <w:color w:val="auto"/>
          <w:sz w:val="28"/>
          <w:szCs w:val="28"/>
          <w:lang w:val="en-US" w:eastAsia="zh-CN"/>
        </w:rPr>
        <w:t>30</w:t>
      </w:r>
      <w:r>
        <w:rPr>
          <w:rFonts w:hint="eastAsia" w:ascii="宋体" w:hAnsi="宋体" w:eastAsia="宋体"/>
          <w:color w:val="auto"/>
          <w:sz w:val="28"/>
          <w:szCs w:val="28"/>
        </w:rPr>
        <w:t>人，具有博士学位教师占84%，具有一年以上海外经历的教师占</w:t>
      </w:r>
      <w:r>
        <w:rPr>
          <w:rFonts w:hint="eastAsia" w:ascii="宋体" w:hAnsi="宋体" w:eastAsia="宋体"/>
          <w:color w:val="auto"/>
          <w:sz w:val="28"/>
          <w:szCs w:val="28"/>
          <w:lang w:val="en-US" w:eastAsia="zh-CN"/>
        </w:rPr>
        <w:t>72</w:t>
      </w:r>
      <w:r>
        <w:rPr>
          <w:rFonts w:hint="eastAsia" w:ascii="宋体" w:hAnsi="宋体" w:eastAsia="宋体"/>
          <w:color w:val="auto"/>
          <w:sz w:val="28"/>
          <w:szCs w:val="28"/>
        </w:rPr>
        <w:t>%。目前导师队伍中有博士生导师</w:t>
      </w:r>
      <w:r>
        <w:rPr>
          <w:rFonts w:ascii="宋体" w:hAnsi="宋体" w:eastAsia="宋体"/>
          <w:color w:val="auto"/>
          <w:sz w:val="28"/>
          <w:szCs w:val="28"/>
        </w:rPr>
        <w:t>32</w:t>
      </w:r>
      <w:r>
        <w:rPr>
          <w:rFonts w:hint="eastAsia" w:ascii="宋体" w:hAnsi="宋体" w:eastAsia="宋体"/>
          <w:color w:val="auto"/>
          <w:sz w:val="28"/>
          <w:szCs w:val="28"/>
        </w:rPr>
        <w:t>人，硕士生导师人</w:t>
      </w:r>
      <w:r>
        <w:rPr>
          <w:rFonts w:hint="eastAsia" w:ascii="宋体" w:hAnsi="宋体" w:eastAsia="宋体"/>
          <w:color w:val="auto"/>
          <w:sz w:val="28"/>
          <w:szCs w:val="28"/>
          <w:lang w:val="en-US" w:eastAsia="zh-CN"/>
        </w:rPr>
        <w:t>63</w:t>
      </w:r>
      <w:r>
        <w:rPr>
          <w:rFonts w:hint="eastAsia" w:ascii="宋体" w:hAnsi="宋体" w:eastAsia="宋体"/>
          <w:color w:val="auto"/>
          <w:sz w:val="28"/>
          <w:szCs w:val="28"/>
        </w:rPr>
        <w:t>。其中国家973首席专家1人，国家“千人计划”入选者2人，长江学者特聘教授1人和长江学者讲座教授1人，教育部新世纪创新人才1人，青年千人计划1人，教育部生物技术与生物工程教育指导委员会副主任委员1人，教育部创新创业优秀指导老师2人，江西省主要学科学术与技术带头人</w:t>
      </w:r>
      <w:r>
        <w:rPr>
          <w:rFonts w:ascii="宋体" w:hAnsi="宋体" w:eastAsia="宋体"/>
          <w:color w:val="auto"/>
          <w:sz w:val="28"/>
          <w:szCs w:val="28"/>
        </w:rPr>
        <w:t>4</w:t>
      </w:r>
      <w:r>
        <w:rPr>
          <w:rFonts w:hint="eastAsia" w:ascii="宋体" w:hAnsi="宋体" w:eastAsia="宋体"/>
          <w:color w:val="auto"/>
          <w:sz w:val="28"/>
          <w:szCs w:val="28"/>
        </w:rPr>
        <w:t>人，江西省百千万人才</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人，江西省金牌</w:t>
      </w:r>
      <w:r>
        <w:rPr>
          <w:rFonts w:hint="eastAsia" w:ascii="宋体" w:hAnsi="宋体" w:eastAsia="宋体"/>
          <w:color w:val="auto"/>
          <w:sz w:val="28"/>
          <w:szCs w:val="28"/>
          <w:lang w:val="en-US" w:eastAsia="zh-CN"/>
        </w:rPr>
        <w:t>教师（教学名师）2名（其中金牌</w:t>
      </w:r>
      <w:r>
        <w:rPr>
          <w:rFonts w:hint="eastAsia" w:ascii="宋体" w:hAnsi="宋体" w:eastAsia="宋体"/>
          <w:color w:val="auto"/>
          <w:sz w:val="28"/>
          <w:szCs w:val="28"/>
        </w:rPr>
        <w:t>研究生导师1名</w:t>
      </w:r>
      <w:r>
        <w:rPr>
          <w:rFonts w:hint="eastAsia" w:ascii="宋体" w:hAnsi="宋体" w:eastAsia="宋体"/>
          <w:color w:val="auto"/>
          <w:sz w:val="28"/>
          <w:szCs w:val="28"/>
          <w:lang w:eastAsia="zh-CN"/>
        </w:rPr>
        <w:t>）</w:t>
      </w:r>
      <w:r>
        <w:rPr>
          <w:rFonts w:hint="eastAsia" w:ascii="宋体" w:hAnsi="宋体" w:eastAsia="宋体"/>
          <w:color w:val="auto"/>
          <w:sz w:val="28"/>
          <w:szCs w:val="28"/>
        </w:rPr>
        <w:t>，省级教学名师1人。</w:t>
      </w:r>
    </w:p>
    <w:p>
      <w:pPr>
        <w:ind w:firstLine="560" w:firstLineChars="200"/>
        <w:rPr>
          <w:rFonts w:ascii="宋体" w:hAnsi="宋体" w:eastAsia="宋体"/>
          <w:sz w:val="28"/>
          <w:szCs w:val="28"/>
        </w:rPr>
      </w:pPr>
      <w:r>
        <w:rPr>
          <w:rFonts w:hint="eastAsia" w:ascii="宋体" w:hAnsi="宋体" w:eastAsia="宋体"/>
          <w:sz w:val="28"/>
          <w:szCs w:val="28"/>
        </w:rPr>
        <w:t>逐步形成了各培养方向师资力量均衡、学科结构较为合理、科研能力强、以中青年教师为主体的教师队伍。</w:t>
      </w:r>
    </w:p>
    <w:p>
      <w:pPr>
        <w:widowControl/>
        <w:spacing w:line="560" w:lineRule="exact"/>
        <w:ind w:firstLine="562" w:firstLineChars="200"/>
        <w:textAlignment w:val="baseline"/>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3．科学研究</w:t>
      </w:r>
    </w:p>
    <w:p>
      <w:pPr>
        <w:pStyle w:val="31"/>
        <w:spacing w:line="560" w:lineRule="exact"/>
        <w:ind w:firstLine="660" w:firstLineChars="0"/>
        <w:rPr>
          <w:rFonts w:ascii="宋体" w:hAnsi="宋体"/>
          <w:color w:val="000000"/>
          <w:sz w:val="28"/>
          <w:szCs w:val="28"/>
        </w:rPr>
      </w:pPr>
      <w:r>
        <w:rPr>
          <w:rFonts w:hint="eastAsia" w:ascii="宋体" w:hAnsi="宋体"/>
          <w:sz w:val="28"/>
          <w:szCs w:val="28"/>
        </w:rPr>
        <w:t>博士、硕士生是学科科学研究的主力军，积极参与各类项目研究，取得很好的成果。</w:t>
      </w:r>
      <w:r>
        <w:rPr>
          <w:rFonts w:ascii="宋体" w:hAnsi="宋体"/>
          <w:sz w:val="28"/>
          <w:szCs w:val="28"/>
        </w:rPr>
        <w:t>“生物学与生物化学”</w:t>
      </w:r>
      <w:r>
        <w:rPr>
          <w:rFonts w:hint="eastAsia" w:ascii="宋体" w:hAnsi="宋体"/>
          <w:sz w:val="28"/>
          <w:szCs w:val="28"/>
        </w:rPr>
        <w:t>、“</w:t>
      </w:r>
      <w:r>
        <w:rPr>
          <w:rFonts w:hint="eastAsia" w:ascii="宋体" w:hAnsi="宋体"/>
          <w:color w:val="333333"/>
          <w:sz w:val="28"/>
          <w:szCs w:val="28"/>
        </w:rPr>
        <w:t>分子生物学和遗传学</w:t>
      </w:r>
      <w:r>
        <w:rPr>
          <w:rFonts w:hint="eastAsia" w:ascii="宋体" w:hAnsi="宋体"/>
          <w:sz w:val="28"/>
          <w:szCs w:val="28"/>
        </w:rPr>
        <w:t>”</w:t>
      </w:r>
      <w:r>
        <w:rPr>
          <w:rFonts w:ascii="宋体" w:hAnsi="宋体"/>
          <w:sz w:val="28"/>
          <w:szCs w:val="28"/>
        </w:rPr>
        <w:t>进入 ESI 全球排名前 1%</w:t>
      </w:r>
      <w:r>
        <w:rPr>
          <w:rFonts w:hint="eastAsia" w:ascii="宋体" w:hAnsi="宋体"/>
          <w:sz w:val="28"/>
          <w:szCs w:val="28"/>
        </w:rPr>
        <w:t>；参与</w:t>
      </w:r>
      <w:r>
        <w:rPr>
          <w:rFonts w:ascii="宋体" w:hAnsi="宋体"/>
          <w:sz w:val="28"/>
          <w:szCs w:val="28"/>
        </w:rPr>
        <w:t>国家重点研发计划、国家自然基金重点项目，</w:t>
      </w:r>
      <w:r>
        <w:rPr>
          <w:rFonts w:hint="eastAsia" w:ascii="宋体" w:hAnsi="宋体"/>
          <w:sz w:val="28"/>
          <w:szCs w:val="28"/>
        </w:rPr>
        <w:t>其它</w:t>
      </w:r>
      <w:r>
        <w:rPr>
          <w:rFonts w:ascii="宋体" w:hAnsi="宋体"/>
          <w:sz w:val="28"/>
          <w:szCs w:val="28"/>
        </w:rPr>
        <w:t>省部级和横向项目</w:t>
      </w:r>
      <w:r>
        <w:rPr>
          <w:rFonts w:hint="eastAsia" w:ascii="宋体" w:hAnsi="宋体"/>
          <w:sz w:val="28"/>
          <w:szCs w:val="28"/>
          <w:lang w:val="en-US" w:eastAsia="zh-CN"/>
        </w:rPr>
        <w:t>73</w:t>
      </w:r>
      <w:r>
        <w:rPr>
          <w:rFonts w:ascii="宋体" w:hAnsi="宋体"/>
          <w:sz w:val="28"/>
          <w:szCs w:val="28"/>
        </w:rPr>
        <w:t xml:space="preserve"> 项；在 </w:t>
      </w:r>
      <w:r>
        <w:rPr>
          <w:rFonts w:ascii="宋体" w:hAnsi="宋体"/>
          <w:i/>
          <w:sz w:val="28"/>
          <w:szCs w:val="28"/>
        </w:rPr>
        <w:t xml:space="preserve">Cell、Sci Adv、Neuron、NatCom </w:t>
      </w:r>
      <w:r>
        <w:rPr>
          <w:rFonts w:ascii="宋体" w:hAnsi="宋体"/>
          <w:sz w:val="28"/>
          <w:szCs w:val="28"/>
        </w:rPr>
        <w:t>等发表高水平论文；</w:t>
      </w:r>
      <w:r>
        <w:rPr>
          <w:rFonts w:hint="eastAsia" w:ascii="宋体" w:hAnsi="宋体"/>
          <w:color w:val="000000"/>
          <w:sz w:val="28"/>
          <w:szCs w:val="28"/>
        </w:rPr>
        <w:t>获省级科技奖励6项，其中江西省科技进步奖一等奖1项，江西省自然科学一等奖2项、二等奖1项。</w:t>
      </w:r>
    </w:p>
    <w:p>
      <w:pPr>
        <w:pStyle w:val="2"/>
        <w:ind w:firstLine="560"/>
      </w:pPr>
      <w:r>
        <w:rPr>
          <w:rFonts w:ascii="宋体" w:hAnsi="宋体" w:eastAsia="宋体"/>
          <w:sz w:val="28"/>
          <w:szCs w:val="28"/>
        </w:rPr>
        <w:t>服务地方经济发展的能力</w:t>
      </w:r>
      <w:r>
        <w:rPr>
          <w:rFonts w:hint="eastAsia" w:ascii="宋体" w:hAnsi="宋体" w:eastAsia="宋体"/>
          <w:sz w:val="28"/>
          <w:szCs w:val="28"/>
        </w:rPr>
        <w:t>有较大</w:t>
      </w:r>
      <w:r>
        <w:rPr>
          <w:rFonts w:ascii="宋体" w:hAnsi="宋体" w:eastAsia="宋体"/>
          <w:sz w:val="28"/>
          <w:szCs w:val="28"/>
        </w:rPr>
        <w:t>提升</w:t>
      </w:r>
      <w:r>
        <w:rPr>
          <w:rFonts w:hint="eastAsia" w:ascii="宋体" w:hAnsi="宋体" w:eastAsia="宋体"/>
          <w:sz w:val="28"/>
          <w:szCs w:val="28"/>
        </w:rPr>
        <w:t>，学院各</w:t>
      </w:r>
      <w:r>
        <w:rPr>
          <w:rFonts w:ascii="宋体" w:hAnsi="宋体" w:eastAsia="宋体"/>
          <w:sz w:val="28"/>
          <w:szCs w:val="28"/>
        </w:rPr>
        <w:t>PI 研究团队立足江西良好的自然生态资源及农业大省的特点，结合我省革命老区脱贫致富的实际情况，紧紧围绕江西自然生态和革命老区，形成了鲜明的“绿色”和“红色”特色。学院</w:t>
      </w:r>
      <w:r>
        <w:rPr>
          <w:rFonts w:hint="eastAsia" w:ascii="宋体" w:hAnsi="宋体" w:eastAsia="宋体"/>
          <w:color w:val="333333"/>
          <w:sz w:val="28"/>
          <w:szCs w:val="28"/>
          <w:shd w:val="clear" w:color="auto" w:fill="FFFFFF"/>
        </w:rPr>
        <w:t>在</w:t>
      </w:r>
      <w:r>
        <w:rPr>
          <w:rFonts w:hint="eastAsia" w:ascii="宋体" w:hAnsi="宋体" w:eastAsia="宋体"/>
          <w:kern w:val="0"/>
          <w:sz w:val="28"/>
          <w:szCs w:val="28"/>
        </w:rPr>
        <w:t>“稻渔工程”、生物防治、植物资源保护和利用、</w:t>
      </w:r>
      <w:r>
        <w:rPr>
          <w:rFonts w:hint="eastAsia" w:ascii="宋体" w:hAnsi="宋体" w:eastAsia="宋体"/>
          <w:sz w:val="28"/>
          <w:szCs w:val="28"/>
        </w:rPr>
        <w:t>人类衰老与老年健康、环境微生物修复、生物多样性调查与自然生态保护</w:t>
      </w:r>
      <w:r>
        <w:rPr>
          <w:rFonts w:ascii="宋体" w:hAnsi="宋体" w:eastAsia="宋体"/>
          <w:sz w:val="28"/>
          <w:szCs w:val="28"/>
        </w:rPr>
        <w:t>等方面，结合井冈山、瑞金等红色革命老区，为服务地方产业扶贫做出了突出贡献</w:t>
      </w:r>
      <w:r>
        <w:rPr>
          <w:rFonts w:hint="eastAsia" w:ascii="宋体" w:hAnsi="宋体" w:eastAsia="宋体"/>
          <w:sz w:val="28"/>
          <w:szCs w:val="28"/>
        </w:rPr>
        <w:t>。依托</w:t>
      </w:r>
      <w:r>
        <w:rPr>
          <w:rFonts w:hint="eastAsia" w:ascii="宋体" w:hAnsi="宋体" w:eastAsia="宋体"/>
          <w:kern w:val="0"/>
          <w:sz w:val="28"/>
          <w:szCs w:val="28"/>
        </w:rPr>
        <w:t>“稻渔工程”和“生物防治”团队，</w:t>
      </w:r>
      <w:r>
        <w:rPr>
          <w:rFonts w:hint="eastAsia" w:ascii="宋体" w:hAnsi="宋体" w:eastAsia="宋体"/>
          <w:sz w:val="28"/>
          <w:szCs w:val="28"/>
        </w:rPr>
        <w:t>以博士研究生王宏燕、</w:t>
      </w:r>
      <w:r>
        <w:rPr>
          <w:rFonts w:hint="eastAsia" w:ascii="Times New Roman" w:hAnsi="Times New Roman" w:eastAsia="宋体" w:cs="Times New Roman"/>
          <w:sz w:val="28"/>
          <w:szCs w:val="28"/>
        </w:rPr>
        <w:t>金峰分别</w:t>
      </w:r>
      <w:r>
        <w:rPr>
          <w:rFonts w:hint="eastAsia" w:ascii="宋体" w:hAnsi="宋体" w:eastAsia="宋体"/>
          <w:sz w:val="28"/>
          <w:szCs w:val="28"/>
        </w:rPr>
        <w:t>为研究生团队成员获第七届“中国国际互联网+大学生创新创业大赛”金奖2项。</w:t>
      </w:r>
    </w:p>
    <w:p>
      <w:pPr>
        <w:widowControl/>
        <w:spacing w:line="560" w:lineRule="exact"/>
        <w:ind w:firstLine="562" w:firstLineChars="200"/>
        <w:textAlignment w:val="baseline"/>
        <w:rPr>
          <w:rFonts w:ascii="Times New Roman" w:hAnsi="Times New Roman" w:eastAsia="宋体" w:cs="Times New Roman"/>
          <w:sz w:val="28"/>
          <w:szCs w:val="28"/>
        </w:rPr>
      </w:pPr>
      <w:r>
        <w:rPr>
          <w:rFonts w:hint="eastAsia" w:ascii="Times New Roman" w:hAnsi="Times New Roman" w:eastAsia="宋体" w:cs="Times New Roman"/>
          <w:b/>
          <w:bCs/>
          <w:sz w:val="28"/>
          <w:szCs w:val="28"/>
        </w:rPr>
        <w:t>4．传承创新优秀文化</w:t>
      </w:r>
      <w:r>
        <w:rPr>
          <w:rFonts w:hint="eastAsia" w:ascii="Times New Roman" w:hAnsi="Times New Roman" w:eastAsia="宋体" w:cs="Times New Roman"/>
          <w:sz w:val="28"/>
          <w:szCs w:val="28"/>
        </w:rPr>
        <w:t xml:space="preserve">   </w:t>
      </w:r>
    </w:p>
    <w:p>
      <w:pPr>
        <w:pStyle w:val="2"/>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在研究生培养中，加强中国传统文化教育，将中国传统文化教育纳入到研究生培养体系，培养研究生全面认识中华民族的历史传统、文化积淀和基本国情，发挥中华民族优秀文化完善人格内涵、提升道德素养、塑造精神价值的引领作用，提升研究生思想涵养，树立正确的价值取向，提升创新能力。</w:t>
      </w:r>
    </w:p>
    <w:p>
      <w:r>
        <w:rPr>
          <w:rFonts w:hint="eastAsia"/>
        </w:rPr>
        <w:t xml:space="preserve"> </w:t>
      </w:r>
      <w:r>
        <w:t xml:space="preserve">   </w:t>
      </w:r>
      <w:r>
        <w:rPr>
          <w:rFonts w:ascii="宋体" w:hAnsi="宋体" w:eastAsia="宋体"/>
          <w:sz w:val="28"/>
          <w:szCs w:val="28"/>
        </w:rPr>
        <w:t>立足</w:t>
      </w:r>
      <w:r>
        <w:rPr>
          <w:rFonts w:hint="eastAsia" w:ascii="宋体" w:hAnsi="宋体" w:eastAsia="宋体"/>
          <w:sz w:val="28"/>
          <w:szCs w:val="28"/>
        </w:rPr>
        <w:t>生物学学科，根据</w:t>
      </w:r>
      <w:r>
        <w:rPr>
          <w:rFonts w:ascii="宋体" w:hAnsi="宋体" w:eastAsia="宋体"/>
          <w:sz w:val="28"/>
          <w:szCs w:val="28"/>
        </w:rPr>
        <w:t>江西良好的自然生态资源及农业大省的特点，结合我省革命老区脱贫致富的实际情况，紧紧围绕江西自然生态和革命老区，形成了鲜明的“绿色”和“红色”特色。学院</w:t>
      </w:r>
      <w:r>
        <w:rPr>
          <w:rFonts w:hint="eastAsia" w:ascii="宋体" w:hAnsi="宋体" w:eastAsia="宋体"/>
          <w:color w:val="333333"/>
          <w:sz w:val="28"/>
          <w:szCs w:val="28"/>
          <w:shd w:val="clear" w:color="auto" w:fill="FFFFFF"/>
        </w:rPr>
        <w:t>在</w:t>
      </w:r>
      <w:r>
        <w:rPr>
          <w:rFonts w:hint="eastAsia" w:ascii="宋体" w:hAnsi="宋体" w:eastAsia="宋体"/>
          <w:color w:val="000000"/>
          <w:kern w:val="0"/>
          <w:sz w:val="28"/>
          <w:szCs w:val="28"/>
        </w:rPr>
        <w:t>“稻渔工程”、生物防治、植物资源保护和利用、</w:t>
      </w:r>
      <w:r>
        <w:rPr>
          <w:rFonts w:hint="eastAsia" w:ascii="宋体" w:hAnsi="宋体" w:eastAsia="宋体"/>
          <w:sz w:val="28"/>
          <w:szCs w:val="28"/>
        </w:rPr>
        <w:t>人类衰老与老年健康、环境微生物修复、生物多样性调查与自然生态保护</w:t>
      </w:r>
      <w:r>
        <w:rPr>
          <w:rFonts w:ascii="宋体" w:hAnsi="宋体" w:eastAsia="宋体"/>
          <w:sz w:val="28"/>
          <w:szCs w:val="28"/>
        </w:rPr>
        <w:t>等方面，结合井冈山、瑞金等红色革命老区，为服务地方产业扶贫做出了突出贡献</w:t>
      </w:r>
      <w:r>
        <w:rPr>
          <w:rFonts w:hint="eastAsia" w:ascii="宋体" w:hAnsi="宋体" w:eastAsia="宋体"/>
          <w:sz w:val="28"/>
          <w:szCs w:val="28"/>
        </w:rPr>
        <w:t>。</w:t>
      </w:r>
    </w:p>
    <w:p>
      <w:pPr>
        <w:ind w:firstLine="562" w:firstLineChars="200"/>
      </w:pPr>
      <w:r>
        <w:rPr>
          <w:rFonts w:hint="eastAsia" w:ascii="Times New Roman" w:hAnsi="Times New Roman" w:eastAsia="宋体" w:cs="Times New Roman"/>
          <w:b/>
          <w:bCs/>
          <w:sz w:val="28"/>
          <w:szCs w:val="28"/>
        </w:rPr>
        <w:t>5．国际合作交流</w:t>
      </w:r>
    </w:p>
    <w:p>
      <w:pPr>
        <w:widowControl/>
        <w:spacing w:line="560" w:lineRule="exact"/>
        <w:ind w:firstLine="560" w:firstLineChars="200"/>
        <w:textAlignment w:val="baseline"/>
        <w:rPr>
          <w:rFonts w:ascii="Times New Roman" w:hAnsi="Times New Roman" w:eastAsia="宋体" w:cs="Times New Roman"/>
          <w:sz w:val="28"/>
          <w:szCs w:val="28"/>
        </w:rPr>
      </w:pPr>
      <w:r>
        <w:rPr>
          <w:rFonts w:ascii="Times New Roman" w:hAnsi="Times New Roman" w:eastAsia="宋体" w:cs="Times New Roman"/>
          <w:sz w:val="28"/>
          <w:szCs w:val="28"/>
        </w:rPr>
        <w:t>本</w:t>
      </w:r>
      <w:r>
        <w:rPr>
          <w:rFonts w:hint="eastAsia" w:ascii="Times New Roman" w:hAnsi="Times New Roman" w:eastAsia="宋体" w:cs="Times New Roman"/>
          <w:sz w:val="28"/>
          <w:szCs w:val="28"/>
        </w:rPr>
        <w:t>学位点</w:t>
      </w:r>
      <w:r>
        <w:rPr>
          <w:rFonts w:ascii="Times New Roman" w:hAnsi="Times New Roman" w:eastAsia="宋体" w:cs="Times New Roman"/>
          <w:sz w:val="28"/>
          <w:szCs w:val="28"/>
        </w:rPr>
        <w:t>国际化人才培养的改革充分考虑目前面临的机遇和挑战，吸取国外高校知名水产学科的发展经验，借鉴其先进的教育模式，实施有效的学生国际化培养措施，充分利用国境内外优质的教育资源以促进自身教育水平的发展。主要从人才引进，开展双语教学、鼓励青年教师出国学术访问或进修、开展合作研究和发表国际学术论文、进行国际学术交流，提高师生的国际化能力和人才培养的国际化认识与水平等方面进行改革。</w:t>
      </w:r>
      <w:r>
        <w:rPr>
          <w:rFonts w:hint="eastAsia" w:ascii="Times New Roman" w:hAnsi="Times New Roman" w:eastAsia="宋体" w:cs="Times New Roman"/>
          <w:sz w:val="28"/>
          <w:szCs w:val="28"/>
        </w:rPr>
        <w:t>目前，本学位点导师90%以上具有国外访学交流经历，每年有1-2名硕士研究赴海外进行学习和从事科学研究工作，有</w:t>
      </w:r>
      <w:r>
        <w:rPr>
          <w:rFonts w:hint="eastAsia" w:ascii="Times New Roman" w:hAnsi="Times New Roman" w:eastAsia="宋体" w:cs="Times New Roman"/>
          <w:sz w:val="28"/>
          <w:szCs w:val="28"/>
          <w:lang w:val="en-US" w:eastAsia="zh-CN"/>
        </w:rPr>
        <w:t>4</w:t>
      </w:r>
      <w:r>
        <w:rPr>
          <w:rFonts w:hint="eastAsia" w:ascii="Times New Roman" w:hAnsi="Times New Roman" w:eastAsia="宋体" w:cs="Times New Roman"/>
          <w:sz w:val="28"/>
          <w:szCs w:val="28"/>
        </w:rPr>
        <w:t>名教师参加国际会议并做报告，</w:t>
      </w:r>
      <w:r>
        <w:rPr>
          <w:rFonts w:hint="eastAsia" w:ascii="Times New Roman" w:hAnsi="Times New Roman" w:eastAsia="宋体" w:cs="Times New Roman"/>
          <w:sz w:val="28"/>
          <w:szCs w:val="28"/>
          <w:lang w:val="en-US" w:eastAsia="zh-CN"/>
        </w:rPr>
        <w:t>6</w:t>
      </w:r>
      <w:r>
        <w:rPr>
          <w:rFonts w:hint="eastAsia" w:ascii="Times New Roman" w:hAnsi="Times New Roman" w:eastAsia="宋体" w:cs="Times New Roman"/>
          <w:sz w:val="28"/>
          <w:szCs w:val="28"/>
        </w:rPr>
        <w:t>名同学有参加国际会议经历。</w:t>
      </w:r>
    </w:p>
    <w:p/>
    <w:p>
      <w:pPr>
        <w:widowControl/>
        <w:numPr>
          <w:ilvl w:val="0"/>
          <w:numId w:val="1"/>
        </w:numPr>
        <w:snapToGrid w:val="0"/>
        <w:spacing w:line="560" w:lineRule="exact"/>
        <w:textAlignment w:val="baseline"/>
        <w:rPr>
          <w:rStyle w:val="25"/>
          <w:rFonts w:ascii="黑体" w:hAnsi="黑体" w:eastAsia="黑体" w:cs="黑体"/>
          <w:sz w:val="32"/>
          <w:szCs w:val="32"/>
        </w:rPr>
      </w:pPr>
      <w:r>
        <w:rPr>
          <w:rStyle w:val="25"/>
          <w:rFonts w:hint="eastAsia" w:ascii="黑体" w:hAnsi="黑体" w:eastAsia="黑体" w:cs="黑体"/>
          <w:sz w:val="32"/>
          <w:szCs w:val="32"/>
        </w:rPr>
        <w:t>教育质量评估与分析</w:t>
      </w:r>
    </w:p>
    <w:p>
      <w:pPr>
        <w:pStyle w:val="2"/>
        <w:ind w:firstLine="562"/>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1．</w:t>
      </w:r>
      <w:r>
        <w:rPr>
          <w:rFonts w:ascii="Times New Roman" w:hAnsi="Times New Roman" w:eastAsia="宋体" w:cs="Times New Roman"/>
          <w:b/>
          <w:bCs/>
          <w:sz w:val="28"/>
          <w:szCs w:val="28"/>
        </w:rPr>
        <w:t>学科自我评估进展及问题分析</w:t>
      </w:r>
    </w:p>
    <w:p>
      <w:pPr>
        <w:pStyle w:val="2"/>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 xml:space="preserve"> 组织机构</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南昌大学生命科学学院于2016年6月成立了“教育部学位中心第四轮学科评估和学位授权点评估工作领导小组”。</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南昌大学生命科学学院于2020年6月成立了“</w:t>
      </w:r>
      <w:r>
        <w:rPr>
          <w:rFonts w:hint="eastAsia" w:ascii="Times New Roman" w:hAnsi="Times New Roman" w:eastAsia="宋体" w:cs="Times New Roman"/>
          <w:sz w:val="28"/>
          <w:szCs w:val="28"/>
        </w:rPr>
        <w:t>南昌大学生命科学学院研究生</w:t>
      </w:r>
      <w:r>
        <w:rPr>
          <w:rFonts w:ascii="Times New Roman" w:hAnsi="Times New Roman" w:eastAsia="宋体" w:cs="Times New Roman"/>
          <w:sz w:val="28"/>
          <w:szCs w:val="28"/>
        </w:rPr>
        <w:t>学位授权点评估工作领导小组”。</w:t>
      </w:r>
      <w:r>
        <w:rPr>
          <w:rFonts w:hint="eastAsia" w:ascii="Times New Roman" w:hAnsi="Times New Roman" w:eastAsia="宋体" w:cs="Times New Roman"/>
          <w:sz w:val="28"/>
          <w:szCs w:val="28"/>
        </w:rPr>
        <w:t>成立专班组，明确了责任，学位点评估作为每年常态化的工作，每年做好评估、总结。</w:t>
      </w:r>
    </w:p>
    <w:p>
      <w:pPr>
        <w:pStyle w:val="2"/>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ascii="Times New Roman" w:hAnsi="Times New Roman" w:eastAsia="宋体" w:cs="Times New Roman"/>
          <w:sz w:val="28"/>
          <w:szCs w:val="28"/>
        </w:rPr>
        <w:t>工作流程</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学位授权点准备评估材料：学位点准备《学位授权点自我评估总结报告》、《南昌大学学位授权点合格评估简况表》和相应的支撑、佐证的附件材料；</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专家评议：包括邀请不少于5人的校外同行专家，与专家进行充分沟通，发送评估材料，根据专家反馈意见，补充完善自评材料；专家组现场审阅学位授权点评估材料，通过听取学位点汇报、与师生和管理人员座谈、查阅有关资料等方式，了解学位点基本情况；各位专家对学位点分别进行评分，并提出评议意见；根据评估专家意见，修改完善自评报告，撰写学位授权点整改与提升方案。</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学位评定分委员会审议：学位评定分委员会召开会议，对学位授权点自评材料进行审议，提出学位点建设意见。</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校学位评定委员会审议：校学位评定委员会根据评估专家的评议结果、学位评定分委员会审议情况等，按议事规则对学位授权点自评结果进行审议表决。</w:t>
      </w:r>
    </w:p>
    <w:p>
      <w:pPr>
        <w:pStyle w:val="2"/>
        <w:ind w:firstLine="562"/>
        <w:rPr>
          <w:rFonts w:ascii="宋体" w:hAnsi="宋体" w:eastAsia="宋体"/>
          <w:b/>
          <w:bCs/>
          <w:sz w:val="28"/>
          <w:szCs w:val="28"/>
        </w:rPr>
      </w:pPr>
      <w:r>
        <w:rPr>
          <w:rFonts w:ascii="宋体" w:hAnsi="宋体" w:eastAsia="宋体"/>
          <w:b/>
          <w:bCs/>
          <w:sz w:val="28"/>
          <w:szCs w:val="28"/>
        </w:rPr>
        <w:t>2</w:t>
      </w:r>
      <w:r>
        <w:rPr>
          <w:rFonts w:hint="eastAsia" w:ascii="宋体" w:hAnsi="宋体" w:eastAsia="宋体"/>
          <w:b/>
          <w:bCs/>
          <w:sz w:val="28"/>
          <w:szCs w:val="28"/>
        </w:rPr>
        <w:t>. 主要存在问题分析</w:t>
      </w:r>
    </w:p>
    <w:p>
      <w:pPr>
        <w:pStyle w:val="2"/>
        <w:ind w:firstLine="843" w:firstLineChars="300"/>
        <w:rPr>
          <w:rFonts w:ascii="宋体" w:hAnsi="宋体" w:eastAsia="宋体"/>
          <w:sz w:val="28"/>
          <w:szCs w:val="28"/>
        </w:rPr>
      </w:pPr>
      <w:r>
        <w:rPr>
          <w:rFonts w:hint="eastAsia" w:ascii="宋体" w:hAnsi="宋体" w:eastAsia="宋体"/>
          <w:b/>
          <w:bCs/>
          <w:sz w:val="28"/>
          <w:szCs w:val="28"/>
        </w:rPr>
        <w:t>（1）生源质量待进一步提升</w:t>
      </w:r>
      <w:r>
        <w:rPr>
          <w:rFonts w:hint="eastAsia" w:ascii="宋体" w:hAnsi="宋体" w:eastAsia="宋体"/>
          <w:sz w:val="28"/>
          <w:szCs w:val="28"/>
        </w:rPr>
        <w:t>。2</w:t>
      </w:r>
      <w:r>
        <w:rPr>
          <w:rFonts w:ascii="宋体" w:hAnsi="宋体" w:eastAsia="宋体"/>
          <w:sz w:val="28"/>
          <w:szCs w:val="28"/>
        </w:rPr>
        <w:t>02</w:t>
      </w:r>
      <w:r>
        <w:rPr>
          <w:rFonts w:hint="eastAsia" w:ascii="宋体" w:hAnsi="宋体" w:eastAsia="宋体"/>
          <w:sz w:val="28"/>
          <w:szCs w:val="28"/>
          <w:lang w:val="en-US" w:eastAsia="zh-CN"/>
        </w:rPr>
        <w:t>2</w:t>
      </w:r>
      <w:r>
        <w:rPr>
          <w:rFonts w:hint="eastAsia" w:ascii="宋体" w:hAnsi="宋体" w:eastAsia="宋体"/>
          <w:sz w:val="28"/>
          <w:szCs w:val="28"/>
        </w:rPr>
        <w:t>年度的研究生生源较好，但是从近五年招生情况看，博士生生源充足，在职生源占比不超过15%；硕士生生源</w:t>
      </w:r>
      <w:r>
        <w:rPr>
          <w:rFonts w:hint="eastAsia" w:ascii="宋体" w:hAnsi="宋体" w:eastAsia="宋体"/>
          <w:sz w:val="28"/>
          <w:szCs w:val="28"/>
          <w:lang w:val="en-US" w:eastAsia="zh-CN"/>
        </w:rPr>
        <w:t>质量比以往有较大提高</w:t>
      </w:r>
      <w:r>
        <w:rPr>
          <w:rFonts w:hint="eastAsia" w:ascii="宋体" w:hAnsi="宋体" w:eastAsia="宋体"/>
          <w:sz w:val="28"/>
          <w:szCs w:val="28"/>
        </w:rPr>
        <w:t>，</w:t>
      </w:r>
      <w:r>
        <w:rPr>
          <w:rFonts w:hint="eastAsia" w:ascii="宋体" w:hAnsi="宋体" w:eastAsia="宋体"/>
          <w:sz w:val="28"/>
          <w:szCs w:val="28"/>
          <w:lang w:val="en-US" w:eastAsia="zh-CN"/>
        </w:rPr>
        <w:t>2022年度未</w:t>
      </w:r>
      <w:r>
        <w:rPr>
          <w:rFonts w:hint="eastAsia" w:ascii="宋体" w:hAnsi="宋体" w:eastAsia="宋体"/>
          <w:sz w:val="28"/>
          <w:szCs w:val="28"/>
        </w:rPr>
        <w:t>接收</w:t>
      </w:r>
      <w:r>
        <w:rPr>
          <w:rFonts w:hint="eastAsia" w:ascii="宋体" w:hAnsi="宋体" w:eastAsia="宋体"/>
          <w:sz w:val="28"/>
          <w:szCs w:val="28"/>
          <w:lang w:val="en-US" w:eastAsia="zh-CN"/>
        </w:rPr>
        <w:t>硕士</w:t>
      </w:r>
      <w:r>
        <w:rPr>
          <w:rFonts w:hint="eastAsia" w:ascii="宋体" w:hAnsi="宋体" w:eastAsia="宋体"/>
          <w:sz w:val="28"/>
          <w:szCs w:val="28"/>
        </w:rPr>
        <w:t>调剂生源。学位点生源</w:t>
      </w:r>
      <w:r>
        <w:rPr>
          <w:rFonts w:hint="eastAsia" w:ascii="宋体" w:hAnsi="宋体" w:eastAsia="宋体"/>
          <w:sz w:val="28"/>
          <w:szCs w:val="28"/>
          <w:lang w:val="en-US" w:eastAsia="zh-CN"/>
        </w:rPr>
        <w:t>从就读本科院校看</w:t>
      </w:r>
      <w:r>
        <w:rPr>
          <w:rFonts w:hint="eastAsia" w:ascii="宋体" w:hAnsi="宋体" w:eastAsia="宋体"/>
          <w:sz w:val="28"/>
          <w:szCs w:val="28"/>
        </w:rPr>
        <w:t>，来自985或211高校的生源比例较低，普通本科院校生源占主体，甚至部分生源来自三本院校。生源数量和质量各二级学科也不均衡。</w:t>
      </w:r>
    </w:p>
    <w:p>
      <w:pPr>
        <w:pStyle w:val="2"/>
        <w:spacing w:line="360" w:lineRule="auto"/>
        <w:ind w:firstLine="843" w:firstLineChars="300"/>
        <w:rPr>
          <w:rFonts w:ascii="宋体" w:hAnsi="宋体" w:eastAsia="宋体"/>
          <w:b/>
          <w:bCs/>
          <w:sz w:val="28"/>
          <w:szCs w:val="28"/>
        </w:rPr>
      </w:pPr>
      <w:r>
        <w:rPr>
          <w:rFonts w:hint="eastAsia" w:ascii="宋体" w:hAnsi="宋体" w:eastAsia="宋体"/>
          <w:b/>
          <w:bCs/>
          <w:sz w:val="28"/>
          <w:szCs w:val="28"/>
        </w:rPr>
        <w:t>（2）人才培养国际化程度不高；</w:t>
      </w:r>
    </w:p>
    <w:p>
      <w:pPr>
        <w:pStyle w:val="2"/>
        <w:spacing w:line="360" w:lineRule="auto"/>
        <w:ind w:firstLine="843" w:firstLineChars="300"/>
        <w:rPr>
          <w:rFonts w:ascii="宋体" w:hAnsi="宋体" w:eastAsia="宋体"/>
          <w:b/>
          <w:bCs/>
          <w:sz w:val="28"/>
          <w:szCs w:val="28"/>
        </w:rPr>
      </w:pPr>
      <w:r>
        <w:rPr>
          <w:rFonts w:hint="eastAsia" w:ascii="宋体" w:hAnsi="宋体" w:eastAsia="宋体"/>
          <w:b/>
          <w:bCs/>
          <w:sz w:val="28"/>
          <w:szCs w:val="28"/>
        </w:rPr>
        <w:t>（3）博士招生指标少，标志性创新成果不突出；</w:t>
      </w:r>
    </w:p>
    <w:p>
      <w:pPr>
        <w:pStyle w:val="2"/>
        <w:spacing w:line="360" w:lineRule="auto"/>
        <w:ind w:firstLine="562"/>
        <w:rPr>
          <w:rFonts w:ascii="宋体" w:hAnsi="宋体" w:eastAsia="宋体"/>
          <w:b/>
          <w:bCs/>
          <w:sz w:val="28"/>
          <w:szCs w:val="28"/>
        </w:rPr>
      </w:pPr>
      <w:r>
        <w:rPr>
          <w:rFonts w:hint="eastAsia" w:ascii="宋体" w:hAnsi="宋体" w:eastAsia="宋体"/>
          <w:b/>
          <w:bCs/>
          <w:sz w:val="28"/>
          <w:szCs w:val="28"/>
        </w:rPr>
        <w:t>3</w:t>
      </w:r>
      <w:r>
        <w:rPr>
          <w:rFonts w:ascii="宋体" w:hAnsi="宋体" w:eastAsia="宋体"/>
          <w:b/>
          <w:bCs/>
          <w:sz w:val="28"/>
          <w:szCs w:val="28"/>
        </w:rPr>
        <w:t xml:space="preserve">. </w:t>
      </w:r>
      <w:r>
        <w:rPr>
          <w:rStyle w:val="25"/>
          <w:rFonts w:ascii="宋体" w:hAnsi="宋体" w:eastAsia="宋体" w:cs="Times New Roman"/>
          <w:b/>
          <w:bCs/>
          <w:sz w:val="28"/>
          <w:szCs w:val="28"/>
        </w:rPr>
        <w:t>学位论文抽检、盲审情况</w:t>
      </w:r>
    </w:p>
    <w:p>
      <w:pPr>
        <w:pStyle w:val="2"/>
        <w:ind w:firstLine="560"/>
        <w:rPr>
          <w:rFonts w:ascii="宋体" w:hAnsi="宋体" w:eastAsia="宋体"/>
          <w:sz w:val="28"/>
          <w:szCs w:val="28"/>
        </w:rPr>
      </w:pPr>
      <w:r>
        <w:rPr>
          <w:rFonts w:hint="eastAsia" w:ascii="宋体" w:hAnsi="宋体" w:eastAsia="宋体"/>
          <w:color w:val="auto"/>
          <w:sz w:val="28"/>
          <w:szCs w:val="28"/>
        </w:rPr>
        <w:t>博士</w:t>
      </w:r>
      <w:r>
        <w:rPr>
          <w:rFonts w:hint="eastAsia" w:ascii="宋体" w:hAnsi="宋体" w:eastAsia="宋体"/>
          <w:sz w:val="28"/>
          <w:szCs w:val="28"/>
        </w:rPr>
        <w:t>点学位论文按规定</w:t>
      </w:r>
      <w:r>
        <w:rPr>
          <w:rFonts w:ascii="宋体" w:hAnsi="宋体" w:eastAsia="宋体"/>
          <w:sz w:val="28"/>
          <w:szCs w:val="28"/>
        </w:rPr>
        <w:t>100%</w:t>
      </w:r>
      <w:r>
        <w:rPr>
          <w:rFonts w:hint="eastAsia" w:ascii="宋体" w:hAnsi="宋体" w:eastAsia="宋体"/>
          <w:sz w:val="28"/>
          <w:szCs w:val="28"/>
        </w:rPr>
        <w:t>委托第三方机构送审。</w:t>
      </w:r>
      <w:r>
        <w:rPr>
          <w:rFonts w:ascii="宋体" w:hAnsi="宋体" w:eastAsia="宋体"/>
          <w:sz w:val="28"/>
          <w:szCs w:val="28"/>
        </w:rPr>
        <w:t>202</w:t>
      </w:r>
      <w:r>
        <w:rPr>
          <w:rFonts w:hint="eastAsia" w:ascii="宋体" w:hAnsi="宋体" w:eastAsia="宋体"/>
          <w:sz w:val="28"/>
          <w:szCs w:val="28"/>
          <w:lang w:val="en-US" w:eastAsia="zh-CN"/>
        </w:rPr>
        <w:t>2</w:t>
      </w:r>
      <w:r>
        <w:rPr>
          <w:rFonts w:hint="eastAsia" w:ascii="宋体" w:hAnsi="宋体" w:eastAsia="宋体"/>
          <w:sz w:val="28"/>
          <w:szCs w:val="28"/>
        </w:rPr>
        <w:t>年度，评审通过率</w:t>
      </w:r>
      <w:r>
        <w:rPr>
          <w:rFonts w:ascii="宋体" w:hAnsi="宋体" w:eastAsia="宋体"/>
          <w:sz w:val="28"/>
          <w:szCs w:val="28"/>
        </w:rPr>
        <w:t>100%</w:t>
      </w:r>
      <w:r>
        <w:rPr>
          <w:rFonts w:hint="eastAsia" w:ascii="宋体" w:hAnsi="宋体" w:eastAsia="宋体"/>
          <w:sz w:val="28"/>
          <w:szCs w:val="28"/>
        </w:rPr>
        <w:t>，学位论文</w:t>
      </w:r>
      <w:r>
        <w:rPr>
          <w:rFonts w:hint="eastAsia" w:ascii="宋体" w:hAnsi="宋体" w:eastAsia="宋体"/>
          <w:b/>
          <w:bCs/>
          <w:sz w:val="28"/>
          <w:szCs w:val="28"/>
        </w:rPr>
        <w:t>获江西省优秀博士论文</w:t>
      </w:r>
      <w:r>
        <w:rPr>
          <w:rFonts w:ascii="宋体" w:hAnsi="宋体" w:eastAsia="宋体"/>
          <w:b/>
          <w:bCs/>
          <w:sz w:val="28"/>
          <w:szCs w:val="28"/>
        </w:rPr>
        <w:t>1</w:t>
      </w:r>
      <w:r>
        <w:rPr>
          <w:rFonts w:hint="eastAsia" w:ascii="宋体" w:hAnsi="宋体" w:eastAsia="宋体"/>
          <w:b/>
          <w:bCs/>
          <w:sz w:val="28"/>
          <w:szCs w:val="28"/>
        </w:rPr>
        <w:t>篇</w:t>
      </w:r>
      <w:r>
        <w:rPr>
          <w:rFonts w:hint="eastAsia" w:ascii="宋体" w:hAnsi="宋体" w:eastAsia="宋体"/>
          <w:sz w:val="28"/>
          <w:szCs w:val="28"/>
        </w:rPr>
        <w:t>。</w:t>
      </w:r>
      <w:r>
        <w:rPr>
          <w:rFonts w:ascii="宋体" w:hAnsi="宋体" w:eastAsia="宋体"/>
          <w:sz w:val="28"/>
          <w:szCs w:val="28"/>
        </w:rPr>
        <w:t xml:space="preserve"> </w:t>
      </w:r>
    </w:p>
    <w:p>
      <w:pPr>
        <w:pStyle w:val="2"/>
        <w:ind w:firstLine="560"/>
        <w:rPr>
          <w:rFonts w:ascii="宋体" w:hAnsi="宋体" w:eastAsia="宋体"/>
          <w:sz w:val="28"/>
          <w:szCs w:val="28"/>
        </w:rPr>
      </w:pPr>
      <w:r>
        <w:rPr>
          <w:rFonts w:hint="eastAsia" w:ascii="宋体" w:hAnsi="宋体" w:eastAsia="宋体"/>
          <w:sz w:val="28"/>
          <w:szCs w:val="28"/>
        </w:rPr>
        <w:t>硕士点学位论文按相关制度规定，在读期间未取得核心期刊及以上成果的，均委托第三方机构送审。</w:t>
      </w:r>
      <w:r>
        <w:rPr>
          <w:rFonts w:ascii="宋体" w:hAnsi="宋体" w:eastAsia="宋体"/>
          <w:sz w:val="28"/>
          <w:szCs w:val="28"/>
        </w:rPr>
        <w:t>202</w:t>
      </w:r>
      <w:r>
        <w:rPr>
          <w:rFonts w:hint="eastAsia" w:ascii="宋体" w:hAnsi="宋体" w:eastAsia="宋体"/>
          <w:sz w:val="28"/>
          <w:szCs w:val="28"/>
          <w:lang w:val="en-US" w:eastAsia="zh-CN"/>
        </w:rPr>
        <w:t>2</w:t>
      </w:r>
      <w:r>
        <w:rPr>
          <w:rFonts w:hint="eastAsia" w:ascii="宋体" w:hAnsi="宋体" w:eastAsia="宋体"/>
          <w:sz w:val="28"/>
          <w:szCs w:val="28"/>
        </w:rPr>
        <w:t>年度，评审通过率</w:t>
      </w:r>
      <w:r>
        <w:rPr>
          <w:rFonts w:ascii="宋体" w:hAnsi="宋体" w:eastAsia="宋体"/>
          <w:sz w:val="28"/>
          <w:szCs w:val="28"/>
        </w:rPr>
        <w:t>100%</w:t>
      </w:r>
      <w:r>
        <w:rPr>
          <w:rFonts w:hint="eastAsia" w:ascii="宋体" w:hAnsi="宋体" w:eastAsia="宋体"/>
          <w:sz w:val="28"/>
          <w:szCs w:val="28"/>
        </w:rPr>
        <w:t>（含江西省硕士抽检学位论文质量合格率</w:t>
      </w:r>
      <w:r>
        <w:rPr>
          <w:rFonts w:ascii="宋体" w:hAnsi="宋体" w:eastAsia="宋体"/>
          <w:sz w:val="28"/>
          <w:szCs w:val="28"/>
        </w:rPr>
        <w:t>100%</w:t>
      </w:r>
      <w:r>
        <w:rPr>
          <w:rFonts w:hint="eastAsia" w:ascii="宋体" w:hAnsi="宋体" w:eastAsia="宋体"/>
          <w:sz w:val="28"/>
          <w:szCs w:val="28"/>
        </w:rPr>
        <w:t>）。学位论文</w:t>
      </w:r>
      <w:r>
        <w:rPr>
          <w:rFonts w:hint="eastAsia" w:ascii="宋体" w:hAnsi="宋体" w:eastAsia="宋体"/>
          <w:b/>
          <w:bCs/>
          <w:sz w:val="28"/>
          <w:szCs w:val="28"/>
        </w:rPr>
        <w:t>获江西省优秀硕士论文1</w:t>
      </w:r>
      <w:r>
        <w:rPr>
          <w:rFonts w:hint="eastAsia" w:ascii="宋体" w:hAnsi="宋体" w:eastAsia="宋体"/>
          <w:b/>
          <w:bCs/>
          <w:sz w:val="28"/>
          <w:szCs w:val="28"/>
          <w:lang w:val="en-US" w:eastAsia="zh-CN"/>
        </w:rPr>
        <w:t>3</w:t>
      </w:r>
      <w:r>
        <w:rPr>
          <w:rFonts w:hint="eastAsia" w:ascii="宋体" w:hAnsi="宋体" w:eastAsia="宋体"/>
          <w:b/>
          <w:bCs/>
          <w:sz w:val="28"/>
          <w:szCs w:val="28"/>
        </w:rPr>
        <w:t>篇</w:t>
      </w:r>
      <w:r>
        <w:rPr>
          <w:rFonts w:hint="eastAsia" w:ascii="宋体" w:hAnsi="宋体" w:eastAsia="宋体"/>
          <w:sz w:val="28"/>
          <w:szCs w:val="28"/>
        </w:rPr>
        <w:t>。</w:t>
      </w:r>
    </w:p>
    <w:p>
      <w:pPr>
        <w:widowControl/>
        <w:snapToGrid w:val="0"/>
        <w:spacing w:line="360" w:lineRule="auto"/>
        <w:textAlignment w:val="baseline"/>
        <w:rPr>
          <w:rStyle w:val="25"/>
          <w:rFonts w:ascii="黑体" w:hAnsi="黑体" w:eastAsia="黑体" w:cs="黑体"/>
          <w:color w:val="FF0000"/>
          <w:sz w:val="32"/>
          <w:szCs w:val="32"/>
        </w:rPr>
      </w:pPr>
    </w:p>
    <w:p>
      <w:pPr>
        <w:widowControl/>
        <w:numPr>
          <w:ilvl w:val="0"/>
          <w:numId w:val="1"/>
        </w:numPr>
        <w:snapToGrid w:val="0"/>
        <w:spacing w:line="560" w:lineRule="exact"/>
        <w:textAlignment w:val="baseline"/>
        <w:rPr>
          <w:rStyle w:val="25"/>
          <w:rFonts w:ascii="黑体" w:hAnsi="黑体" w:eastAsia="黑体" w:cs="黑体"/>
          <w:sz w:val="32"/>
          <w:szCs w:val="32"/>
        </w:rPr>
      </w:pPr>
      <w:r>
        <w:rPr>
          <w:rStyle w:val="25"/>
          <w:rFonts w:hint="eastAsia" w:ascii="黑体" w:hAnsi="黑体" w:eastAsia="黑体" w:cs="黑体"/>
          <w:sz w:val="32"/>
          <w:szCs w:val="32"/>
        </w:rPr>
        <w:t>改进措施</w:t>
      </w:r>
    </w:p>
    <w:p>
      <w:pPr>
        <w:pStyle w:val="2"/>
        <w:spacing w:line="480" w:lineRule="auto"/>
        <w:ind w:firstLine="560"/>
        <w:rPr>
          <w:rFonts w:ascii="宋体" w:hAnsi="宋体" w:eastAsia="宋体"/>
          <w:sz w:val="28"/>
          <w:szCs w:val="28"/>
        </w:rPr>
      </w:pPr>
      <w:r>
        <w:rPr>
          <w:rFonts w:hint="eastAsia" w:ascii="宋体" w:hAnsi="宋体" w:eastAsia="宋体"/>
          <w:sz w:val="28"/>
          <w:szCs w:val="28"/>
        </w:rPr>
        <w:t>1．改进措施</w:t>
      </w:r>
    </w:p>
    <w:p>
      <w:pPr>
        <w:pStyle w:val="2"/>
        <w:spacing w:line="480" w:lineRule="auto"/>
        <w:ind w:firstLine="560"/>
        <w:rPr>
          <w:rFonts w:ascii="宋体" w:hAnsi="宋体" w:eastAsia="宋体"/>
          <w:sz w:val="28"/>
          <w:szCs w:val="28"/>
        </w:rPr>
      </w:pPr>
      <w:r>
        <w:rPr>
          <w:rFonts w:hint="eastAsia" w:ascii="宋体" w:hAnsi="宋体" w:eastAsia="宋体"/>
          <w:sz w:val="28"/>
          <w:szCs w:val="28"/>
        </w:rPr>
        <w:t>（1）加强学位点建设组织领导，切实落实立德树人根本任务，加强学风建设,弘扬实事求是的科学精神和严谨的治学态度；</w:t>
      </w:r>
    </w:p>
    <w:p>
      <w:pPr>
        <w:pStyle w:val="2"/>
        <w:spacing w:line="480" w:lineRule="auto"/>
        <w:ind w:firstLine="560"/>
        <w:rPr>
          <w:rFonts w:ascii="宋体" w:hAnsi="宋体" w:eastAsia="宋体"/>
          <w:sz w:val="28"/>
          <w:szCs w:val="28"/>
        </w:rPr>
      </w:pPr>
      <w:r>
        <w:rPr>
          <w:rFonts w:hint="eastAsia" w:ascii="宋体" w:hAnsi="宋体" w:eastAsia="宋体"/>
          <w:sz w:val="28"/>
          <w:szCs w:val="28"/>
        </w:rPr>
        <w:t>（2）把握利用江西省一流学科建设机遇，吸引人才，提高师资质量、加强平台建设和增加海外联合，保障培养条件；</w:t>
      </w:r>
    </w:p>
    <w:p>
      <w:pPr>
        <w:pStyle w:val="2"/>
        <w:spacing w:line="480" w:lineRule="auto"/>
        <w:ind w:firstLine="560"/>
        <w:rPr>
          <w:rFonts w:ascii="宋体" w:hAnsi="宋体" w:eastAsia="宋体"/>
          <w:sz w:val="28"/>
          <w:szCs w:val="28"/>
        </w:rPr>
      </w:pPr>
      <w:r>
        <w:rPr>
          <w:rFonts w:hint="eastAsia" w:ascii="宋体" w:hAnsi="宋体" w:eastAsia="宋体"/>
          <w:sz w:val="28"/>
          <w:szCs w:val="28"/>
        </w:rPr>
        <w:t>（3）改革导师考核体系，引导教师潜心教书育人；</w:t>
      </w:r>
    </w:p>
    <w:p>
      <w:pPr>
        <w:pStyle w:val="2"/>
        <w:spacing w:line="480" w:lineRule="auto"/>
        <w:ind w:firstLine="560"/>
        <w:rPr>
          <w:rFonts w:ascii="宋体" w:hAnsi="宋体" w:eastAsia="宋体"/>
          <w:sz w:val="28"/>
          <w:szCs w:val="28"/>
        </w:rPr>
      </w:pPr>
      <w:r>
        <w:rPr>
          <w:rFonts w:hint="eastAsia" w:ascii="宋体" w:hAnsi="宋体" w:eastAsia="宋体"/>
          <w:sz w:val="28"/>
          <w:szCs w:val="28"/>
        </w:rPr>
        <w:t>（4）通过夏令营、走出去招生和优生优惠（奖励和荣誉）等方法，吸引优秀学生，提高生源质量；通过与海外大学建立共培养机制，增加学生培养的国际化程度；</w:t>
      </w:r>
    </w:p>
    <w:p>
      <w:pPr>
        <w:pStyle w:val="2"/>
        <w:spacing w:line="480" w:lineRule="auto"/>
        <w:ind w:firstLine="560"/>
        <w:rPr>
          <w:rFonts w:ascii="宋体" w:hAnsi="宋体" w:eastAsia="宋体"/>
          <w:sz w:val="28"/>
          <w:szCs w:val="28"/>
        </w:rPr>
      </w:pPr>
      <w:r>
        <w:rPr>
          <w:rFonts w:hint="eastAsia" w:ascii="宋体" w:hAnsi="宋体" w:eastAsia="宋体"/>
          <w:sz w:val="28"/>
          <w:szCs w:val="28"/>
        </w:rPr>
        <w:t>（5）规范培养过程管理，不断提升创新成果水平；</w:t>
      </w:r>
    </w:p>
    <w:p>
      <w:pPr>
        <w:pStyle w:val="2"/>
        <w:spacing w:line="480" w:lineRule="auto"/>
        <w:ind w:firstLine="560"/>
        <w:rPr>
          <w:rFonts w:ascii="宋体" w:hAnsi="宋体" w:eastAsia="宋体"/>
          <w:sz w:val="28"/>
          <w:szCs w:val="28"/>
        </w:rPr>
      </w:pPr>
      <w:r>
        <w:rPr>
          <w:rFonts w:hint="eastAsia" w:ascii="宋体" w:hAnsi="宋体" w:eastAsia="宋体"/>
          <w:sz w:val="28"/>
          <w:szCs w:val="28"/>
        </w:rPr>
        <w:t>（6）深化对外交流，增强国际化办学水平；</w:t>
      </w:r>
    </w:p>
    <w:p>
      <w:pPr>
        <w:pStyle w:val="2"/>
        <w:spacing w:line="480" w:lineRule="auto"/>
        <w:ind w:firstLine="560"/>
        <w:rPr>
          <w:rFonts w:ascii="宋体" w:hAnsi="宋体" w:eastAsia="宋体"/>
          <w:sz w:val="28"/>
          <w:szCs w:val="28"/>
        </w:rPr>
      </w:pPr>
      <w:r>
        <w:rPr>
          <w:rFonts w:hint="eastAsia" w:ascii="宋体" w:hAnsi="宋体" w:eastAsia="宋体"/>
          <w:sz w:val="28"/>
          <w:szCs w:val="28"/>
        </w:rPr>
        <w:t>（7）强化课程与实验教学配合，提高学生的独立思考能力和动手能力。通过研究生论坛等方式，发现优秀学生，发挥他们的模范和示范作用。</w:t>
      </w:r>
    </w:p>
    <w:p>
      <w:pPr>
        <w:autoSpaceDE w:val="0"/>
        <w:autoSpaceDN w:val="0"/>
        <w:adjustRightInd w:val="0"/>
        <w:spacing w:line="480" w:lineRule="auto"/>
        <w:ind w:firstLine="560" w:firstLineChars="200"/>
        <w:jc w:val="left"/>
        <w:rPr>
          <w:rFonts w:ascii="宋体" w:hAnsi="宋体" w:eastAsia="宋体" w:cs="黑体"/>
          <w:color w:val="000000"/>
          <w:kern w:val="0"/>
          <w:sz w:val="28"/>
          <w:szCs w:val="28"/>
        </w:rPr>
      </w:pPr>
      <w:r>
        <w:rPr>
          <w:rFonts w:hint="eastAsia" w:ascii="宋体" w:hAnsi="宋体" w:eastAsia="宋体" w:cs="黑体"/>
          <w:color w:val="000000"/>
          <w:kern w:val="0"/>
          <w:sz w:val="28"/>
          <w:szCs w:val="28"/>
        </w:rPr>
        <w:t>2．拟定发展目标</w:t>
      </w:r>
    </w:p>
    <w:p>
      <w:pPr>
        <w:pStyle w:val="2"/>
        <w:spacing w:line="480" w:lineRule="auto"/>
        <w:ind w:firstLine="560"/>
        <w:rPr>
          <w:rStyle w:val="25"/>
          <w:rFonts w:ascii="宋体" w:hAnsi="宋体" w:eastAsia="宋体" w:cs="Times New Roman"/>
          <w:sz w:val="28"/>
          <w:szCs w:val="28"/>
        </w:rPr>
      </w:pPr>
      <w:r>
        <w:rPr>
          <w:rFonts w:hint="eastAsia" w:ascii="宋体" w:hAnsi="宋体" w:eastAsia="宋体" w:cs="宋体"/>
          <w:kern w:val="0"/>
          <w:sz w:val="28"/>
          <w:szCs w:val="28"/>
        </w:rPr>
        <w:t>坚持以立德树人为根本任务，以学科建设为龙头，以导师队伍建设为核心，以科研平台建设为保障，充分发挥一流学科对人才培养的支撑作用，不断改革创新人才培养模式，优化研究生培养体系，提升人才培养的国际化水平，通过</w:t>
      </w:r>
      <w:r>
        <w:rPr>
          <w:rFonts w:ascii="宋体" w:hAnsi="宋体" w:eastAsia="宋体" w:cs="Times New Roman"/>
          <w:kern w:val="0"/>
          <w:sz w:val="28"/>
          <w:szCs w:val="28"/>
        </w:rPr>
        <w:t>5-10</w:t>
      </w:r>
      <w:r>
        <w:rPr>
          <w:rFonts w:hint="eastAsia" w:ascii="宋体" w:hAnsi="宋体" w:eastAsia="宋体" w:cs="宋体"/>
          <w:kern w:val="0"/>
          <w:sz w:val="28"/>
          <w:szCs w:val="28"/>
        </w:rPr>
        <w:t>年的建设，将生物学一级学科学位点建成</w:t>
      </w:r>
      <w:r>
        <w:rPr>
          <w:rFonts w:ascii="宋体" w:hAnsi="宋体" w:eastAsia="宋体" w:cs="宋体"/>
          <w:kern w:val="0"/>
          <w:sz w:val="28"/>
          <w:szCs w:val="28"/>
        </w:rPr>
        <w:t>“</w:t>
      </w:r>
      <w:r>
        <w:rPr>
          <w:rFonts w:hint="eastAsia" w:ascii="宋体" w:hAnsi="宋体" w:eastAsia="宋体" w:cs="宋体"/>
          <w:kern w:val="0"/>
          <w:sz w:val="28"/>
          <w:szCs w:val="28"/>
        </w:rPr>
        <w:t>方向明确，特色鲜明，质量优良，成果突出</w:t>
      </w:r>
      <w:r>
        <w:rPr>
          <w:rFonts w:ascii="宋体" w:hAnsi="宋体" w:eastAsia="宋体" w:cs="宋体"/>
          <w:kern w:val="0"/>
          <w:sz w:val="28"/>
          <w:szCs w:val="28"/>
        </w:rPr>
        <w:t>”</w:t>
      </w:r>
      <w:r>
        <w:rPr>
          <w:rFonts w:hint="eastAsia" w:ascii="宋体" w:hAnsi="宋体" w:eastAsia="宋体" w:cs="宋体"/>
          <w:kern w:val="0"/>
          <w:sz w:val="28"/>
          <w:szCs w:val="28"/>
        </w:rPr>
        <w:t>的国内优秀的学位点，</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植物学和动物学</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进入ESI全球排名前1%，学科评估B+成绩，</w:t>
      </w:r>
      <w:r>
        <w:rPr>
          <w:rFonts w:hint="eastAsia" w:ascii="宋体" w:hAnsi="宋体" w:eastAsia="宋体" w:cs="宋体"/>
          <w:kern w:val="0"/>
          <w:sz w:val="28"/>
          <w:szCs w:val="28"/>
        </w:rPr>
        <w:t>使之成为我国中部地区生物学高层次人才培养和科研创新的重要基地。</w:t>
      </w:r>
    </w:p>
    <w:p>
      <w:pPr>
        <w:rPr>
          <w:rFonts w:cs="Times New Roman"/>
        </w:rPr>
      </w:pPr>
    </w:p>
    <w:p>
      <w:pPr>
        <w:rPr>
          <w:rFonts w:cs="Times New Roman"/>
        </w:rPr>
      </w:pPr>
    </w:p>
    <w:p>
      <w:pPr>
        <w:jc w:val="cente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textAlignment w:val="baseline"/>
      <w:rPr>
        <w:rStyle w:val="25"/>
        <w:rFonts w:ascii="Times New Roman" w:hAnsi="Times New Roman" w:eastAsia="宋体" w:cs="Times New Roman"/>
        <w:sz w:val="18"/>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7"/>
                            <w:rPr>
                              <w:rFonts w:cs="Times New Roman"/>
                            </w:rP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9sZGvRAAAAAgEAAA8AAAAAAAAAAQAgAAAAIgAA&#10;AGRycy9kb3ducmV2LnhtbFBLAQIUABQAAAAIAIdO4kA9ytx61gEAAJ8DAAAOAAAAAAAAAAEAIAAA&#10;ACABAABkcnMvZTJvRG9jLnhtbFBLBQYAAAAABgAGAFkBAABoBQAAAAA=&#10;">
              <v:fill on="f" focussize="0,0"/>
              <v:stroke on="f" weight="0.5pt"/>
              <v:imagedata o:title=""/>
              <o:lock v:ext="edit" aspectratio="f"/>
              <v:textbox inset="0mm,0mm,0mm,0mm" style="mso-fit-shape-to-text:t;">
                <w:txbxContent>
                  <w:p>
                    <w:pPr>
                      <w:pStyle w:val="7"/>
                      <w:rPr>
                        <w:rFonts w:cs="Times New Roman"/>
                      </w:rPr>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widowControl/>
                            <w:jc w:val="both"/>
                            <w:textAlignment w:val="baseline"/>
                            <w:rPr>
                              <w:rStyle w:val="25"/>
                              <w:rFonts w:ascii="Times New Roman" w:hAnsi="Times New Roman" w:eastAsia="宋体" w:cs="Times New Roman"/>
                              <w:sz w:val="20"/>
                              <w:szCs w:val="20"/>
                            </w:rPr>
                          </w:pPr>
                        </w:p>
                        <w:p>
                          <w:pPr>
                            <w:textAlignment w:val="baseline"/>
                            <w:rPr>
                              <w:rStyle w:val="25"/>
                              <w:rFonts w:ascii="Times New Roman" w:hAnsi="Times New Roman" w:eastAsia="宋体" w:cs="Times New Roman"/>
                              <w:sz w:val="21"/>
                              <w:szCs w:val="21"/>
                            </w:rPr>
                          </w:pPr>
                        </w:p>
                      </w:txbxContent>
                    </wps:txbx>
                    <wps:bodyPr lIns="0" tIns="0" rIns="0" bIns="0" upright="1"/>
                  </wps:wsp>
                </a:graphicData>
              </a:graphic>
            </wp:anchor>
          </w:drawing>
        </mc:Choice>
        <mc:Fallback>
          <w:pict>
            <v:shape id="文本框 1" o:spid="_x0000_s1026" o:spt="202" type="#_x0000_t202" style="position:absolute;left:0pt;margin-top:0.65pt;height:144pt;width:144pt;mso-position-horizontal:center;mso-position-horizontal-relative:margin;z-index:251659264;mso-width-relative:page;mso-height-relative:page;" filled="f" stroked="f" coordsize="21600,21600" o:gfxdata="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R6pZTVAAAABgEAAA8AAAAAAAAAAQAgAAAAIgAAAGRycy9kb3ducmV2LnhtbFBLAQIU&#10;ABQAAAAIAIdO4kDVLaxCvQEAAH0DAAAOAAAAAAAAAAEAIAAAACQBAABkcnMvZTJvRG9jLnhtbFBL&#10;BQYAAAAABgAGAFkBAABTBQAAAAA=&#10;">
              <v:fill on="f" focussize="0,0"/>
              <v:stroke on="f" weight="1.25pt"/>
              <v:imagedata o:title=""/>
              <o:lock v:ext="edit" aspectratio="f"/>
              <v:textbox inset="0mm,0mm,0mm,0mm">
                <w:txbxContent>
                  <w:p>
                    <w:pPr>
                      <w:pStyle w:val="7"/>
                      <w:widowControl/>
                      <w:jc w:val="both"/>
                      <w:textAlignment w:val="baseline"/>
                      <w:rPr>
                        <w:rStyle w:val="25"/>
                        <w:rFonts w:ascii="Times New Roman" w:hAnsi="Times New Roman" w:eastAsia="宋体" w:cs="Times New Roman"/>
                        <w:sz w:val="20"/>
                        <w:szCs w:val="20"/>
                      </w:rPr>
                    </w:pPr>
                  </w:p>
                  <w:p>
                    <w:pPr>
                      <w:textAlignment w:val="baseline"/>
                      <w:rPr>
                        <w:rStyle w:val="25"/>
                        <w:rFonts w:ascii="Times New Roman" w:hAnsi="Times New Roman" w:eastAsia="宋体" w:cs="Times New Roman"/>
                        <w:sz w:val="21"/>
                        <w:szCs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jc w:val="center"/>
      <w:textAlignment w:val="baseline"/>
      <w:rPr>
        <w:rStyle w:val="25"/>
        <w:rFonts w:ascii="Times New Roman" w:hAnsi="Times New Roman" w:eastAsia="宋体" w:cs="Times New Roman"/>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7"/>
                            <w:rPr>
                              <w:rFonts w:eastAsia="宋体" w:cs="Times New Roman"/>
                            </w:rP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vbGRr0QAAAAIBAAAPAAAAAAAAAAEAIAAAACIA&#10;AABkcnMvZG93bnJldi54bWxQSwECFAAUAAAACACHTuJAP1rvwtcBAACfAwAADgAAAAAAAAABACAA&#10;AAAgAQAAZHJzL2Uyb0RvYy54bWxQSwUGAAAAAAYABgBZAQAAaQUAAAAA&#10;">
              <v:fill on="f" focussize="0,0"/>
              <v:stroke on="f" weight="0.5pt"/>
              <v:imagedata o:title=""/>
              <o:lock v:ext="edit" aspectratio="f"/>
              <v:textbox inset="0mm,0mm,0mm,0mm" style="mso-fit-shape-to-text:t;">
                <w:txbxContent>
                  <w:p>
                    <w:pPr>
                      <w:pStyle w:val="7"/>
                      <w:rPr>
                        <w:rFonts w:eastAsia="宋体" w:cs="Times New Roman"/>
                      </w:rPr>
                    </w:pPr>
                    <w:r>
                      <w:fldChar w:fldCharType="begin"/>
                    </w:r>
                    <w:r>
                      <w:instrText xml:space="preserve"> PAGE  \* MERGEFORMAT </w:instrText>
                    </w:r>
                    <w:r>
                      <w:fldChar w:fldCharType="separate"/>
                    </w:r>
                    <w:r>
                      <w:t>1</w:t>
                    </w:r>
                    <w:r>
                      <w:fldChar w:fldCharType="end"/>
                    </w:r>
                  </w:p>
                </w:txbxContent>
              </v:textbox>
            </v:shape>
          </w:pict>
        </mc:Fallback>
      </mc:AlternateContent>
    </w:r>
  </w:p>
  <w:p>
    <w:pPr>
      <w:pStyle w:val="7"/>
      <w:widowControl/>
      <w:jc w:val="center"/>
      <w:textAlignment w:val="baseline"/>
      <w:rPr>
        <w:rStyle w:val="25"/>
        <w:rFonts w:ascii="Times New Roman" w:hAnsi="Times New Roman" w:eastAsia="宋体" w:cs="Times New Roman"/>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widowControl/>
                            <w:jc w:val="center"/>
                            <w:textAlignment w:val="baseline"/>
                            <w:rPr>
                              <w:rStyle w:val="25"/>
                              <w:rFonts w:ascii="仿宋_GB2312" w:hAnsi="仿宋_GB2312" w:eastAsia="仿宋_GB2312" w:cs="Times New Roman"/>
                              <w:sz w:val="28"/>
                              <w:szCs w:val="28"/>
                            </w:rPr>
                          </w:pPr>
                        </w:p>
                        <w:p>
                          <w:pPr>
                            <w:textAlignment w:val="baseline"/>
                            <w:rPr>
                              <w:rStyle w:val="25"/>
                              <w:rFonts w:ascii="Times New Roman" w:hAnsi="Times New Roman" w:eastAsia="宋体" w:cs="Times New Roman"/>
                              <w:sz w:val="21"/>
                              <w:szCs w:val="21"/>
                            </w:rPr>
                          </w:pPr>
                        </w:p>
                      </w:txbxContent>
                    </wps:txbx>
                    <wps:bodyPr lIns="0" tIns="0" rIns="0" bIns="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7jl9IAAAAFAQAADwAAAAAAAAABACAAAAAiAAAAZHJzL2Rvd25yZXYueG1sUEsBAhQA&#10;FAAAAAgAh07iQKLUwn6/AQAAfgMAAA4AAAAAAAAAAQAgAAAAIQEAAGRycy9lMm9Eb2MueG1sUEsF&#10;BgAAAAAGAAYAWQEAAFIFAAAAAA==&#10;">
              <v:fill on="f" focussize="0,0"/>
              <v:stroke on="f" weight="1.25pt"/>
              <v:imagedata o:title=""/>
              <o:lock v:ext="edit" aspectratio="f"/>
              <v:textbox inset="0mm,0mm,0mm,0mm">
                <w:txbxContent>
                  <w:p>
                    <w:pPr>
                      <w:pStyle w:val="7"/>
                      <w:widowControl/>
                      <w:jc w:val="center"/>
                      <w:textAlignment w:val="baseline"/>
                      <w:rPr>
                        <w:rStyle w:val="25"/>
                        <w:rFonts w:ascii="仿宋_GB2312" w:hAnsi="仿宋_GB2312" w:eastAsia="仿宋_GB2312" w:cs="Times New Roman"/>
                        <w:sz w:val="28"/>
                        <w:szCs w:val="28"/>
                      </w:rPr>
                    </w:pPr>
                  </w:p>
                  <w:p>
                    <w:pPr>
                      <w:textAlignment w:val="baseline"/>
                      <w:rPr>
                        <w:rStyle w:val="25"/>
                        <w:rFonts w:ascii="Times New Roman" w:hAnsi="Times New Roman" w:eastAsia="宋体" w:cs="Times New Roman"/>
                        <w:sz w:val="21"/>
                        <w:szCs w:val="2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18059E"/>
    <w:multiLevelType w:val="multilevel"/>
    <w:tmpl w:val="6918059E"/>
    <w:lvl w:ilvl="0" w:tentative="0">
      <w:start w:val="1"/>
      <w:numFmt w:val="japaneseCounting"/>
      <w:lvlText w:val="%1、"/>
      <w:lvlJc w:val="left"/>
      <w:pPr>
        <w:ind w:left="720" w:hanging="720"/>
      </w:pPr>
      <w:rPr>
        <w:rFonts w:hint="default"/>
        <w:sz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YzODM0ZTUxNGUyOWYxZDUxOTk0ZGE3YTUzNjQifQ=="/>
  </w:docVars>
  <w:rsids>
    <w:rsidRoot w:val="00D94DEB"/>
    <w:rsid w:val="0000504C"/>
    <w:rsid w:val="000319E0"/>
    <w:rsid w:val="00040B22"/>
    <w:rsid w:val="000427DC"/>
    <w:rsid w:val="000506FB"/>
    <w:rsid w:val="0005166F"/>
    <w:rsid w:val="00067302"/>
    <w:rsid w:val="00072396"/>
    <w:rsid w:val="00082791"/>
    <w:rsid w:val="000B1DAC"/>
    <w:rsid w:val="000C4E0E"/>
    <w:rsid w:val="000E22A1"/>
    <w:rsid w:val="0010186E"/>
    <w:rsid w:val="001118EC"/>
    <w:rsid w:val="00161D84"/>
    <w:rsid w:val="001730E8"/>
    <w:rsid w:val="00193B55"/>
    <w:rsid w:val="001A2A89"/>
    <w:rsid w:val="001A736D"/>
    <w:rsid w:val="001A7D2D"/>
    <w:rsid w:val="001C5B39"/>
    <w:rsid w:val="001D24EC"/>
    <w:rsid w:val="001D53CD"/>
    <w:rsid w:val="001E0E79"/>
    <w:rsid w:val="00214D45"/>
    <w:rsid w:val="00223541"/>
    <w:rsid w:val="00297507"/>
    <w:rsid w:val="002A2A8F"/>
    <w:rsid w:val="002E4675"/>
    <w:rsid w:val="002E4D84"/>
    <w:rsid w:val="00345AB3"/>
    <w:rsid w:val="003611A6"/>
    <w:rsid w:val="00380967"/>
    <w:rsid w:val="00390C8F"/>
    <w:rsid w:val="003A04C9"/>
    <w:rsid w:val="00424286"/>
    <w:rsid w:val="00451F04"/>
    <w:rsid w:val="0047067A"/>
    <w:rsid w:val="00484DCD"/>
    <w:rsid w:val="004A3A07"/>
    <w:rsid w:val="004A70B2"/>
    <w:rsid w:val="004C47BB"/>
    <w:rsid w:val="005441DF"/>
    <w:rsid w:val="00586F64"/>
    <w:rsid w:val="00590BB8"/>
    <w:rsid w:val="005A430F"/>
    <w:rsid w:val="0061549D"/>
    <w:rsid w:val="006555D1"/>
    <w:rsid w:val="00674BE2"/>
    <w:rsid w:val="0067773D"/>
    <w:rsid w:val="00683C2F"/>
    <w:rsid w:val="00685395"/>
    <w:rsid w:val="006A528F"/>
    <w:rsid w:val="006B3101"/>
    <w:rsid w:val="006D67CA"/>
    <w:rsid w:val="006E5AAE"/>
    <w:rsid w:val="006E5F91"/>
    <w:rsid w:val="00702CF9"/>
    <w:rsid w:val="0071206B"/>
    <w:rsid w:val="007136B1"/>
    <w:rsid w:val="0071649B"/>
    <w:rsid w:val="0078406B"/>
    <w:rsid w:val="007848BF"/>
    <w:rsid w:val="007852C0"/>
    <w:rsid w:val="007937E1"/>
    <w:rsid w:val="007B14F3"/>
    <w:rsid w:val="007F2C36"/>
    <w:rsid w:val="008000F0"/>
    <w:rsid w:val="00826759"/>
    <w:rsid w:val="0084455F"/>
    <w:rsid w:val="0086080C"/>
    <w:rsid w:val="008719BE"/>
    <w:rsid w:val="008942A0"/>
    <w:rsid w:val="008977ED"/>
    <w:rsid w:val="008B43FC"/>
    <w:rsid w:val="008B6ECB"/>
    <w:rsid w:val="00922D5B"/>
    <w:rsid w:val="00924131"/>
    <w:rsid w:val="00924832"/>
    <w:rsid w:val="00936287"/>
    <w:rsid w:val="009A6D33"/>
    <w:rsid w:val="009B606F"/>
    <w:rsid w:val="009E67A0"/>
    <w:rsid w:val="009F7109"/>
    <w:rsid w:val="00A21FA9"/>
    <w:rsid w:val="00A22909"/>
    <w:rsid w:val="00A23B19"/>
    <w:rsid w:val="00A32B44"/>
    <w:rsid w:val="00A349CF"/>
    <w:rsid w:val="00A42872"/>
    <w:rsid w:val="00A45555"/>
    <w:rsid w:val="00A506DE"/>
    <w:rsid w:val="00A54693"/>
    <w:rsid w:val="00A97CAF"/>
    <w:rsid w:val="00AD083C"/>
    <w:rsid w:val="00AD62B4"/>
    <w:rsid w:val="00AE295A"/>
    <w:rsid w:val="00AE320B"/>
    <w:rsid w:val="00AE3DC0"/>
    <w:rsid w:val="00AE6DBC"/>
    <w:rsid w:val="00AF2AC3"/>
    <w:rsid w:val="00AF375C"/>
    <w:rsid w:val="00AF6156"/>
    <w:rsid w:val="00B115CC"/>
    <w:rsid w:val="00B17944"/>
    <w:rsid w:val="00B356CD"/>
    <w:rsid w:val="00B611B8"/>
    <w:rsid w:val="00B752E9"/>
    <w:rsid w:val="00B84F8A"/>
    <w:rsid w:val="00B95CD5"/>
    <w:rsid w:val="00BB3DD5"/>
    <w:rsid w:val="00BB3E66"/>
    <w:rsid w:val="00BB52EA"/>
    <w:rsid w:val="00BB6DD1"/>
    <w:rsid w:val="00BD4F48"/>
    <w:rsid w:val="00BE0A29"/>
    <w:rsid w:val="00BE34EA"/>
    <w:rsid w:val="00BF0302"/>
    <w:rsid w:val="00C46647"/>
    <w:rsid w:val="00C47D7A"/>
    <w:rsid w:val="00C55EEA"/>
    <w:rsid w:val="00C70C9D"/>
    <w:rsid w:val="00C868BA"/>
    <w:rsid w:val="00C963F9"/>
    <w:rsid w:val="00C978F3"/>
    <w:rsid w:val="00CB6691"/>
    <w:rsid w:val="00CC20CF"/>
    <w:rsid w:val="00CF4719"/>
    <w:rsid w:val="00D02CBA"/>
    <w:rsid w:val="00D26CD2"/>
    <w:rsid w:val="00D66B81"/>
    <w:rsid w:val="00D82133"/>
    <w:rsid w:val="00D94DEB"/>
    <w:rsid w:val="00DA77BC"/>
    <w:rsid w:val="00E03259"/>
    <w:rsid w:val="00E31A38"/>
    <w:rsid w:val="00E3608F"/>
    <w:rsid w:val="00E51822"/>
    <w:rsid w:val="00E53D40"/>
    <w:rsid w:val="00E70574"/>
    <w:rsid w:val="00E92507"/>
    <w:rsid w:val="00E95BED"/>
    <w:rsid w:val="00EA0F71"/>
    <w:rsid w:val="00EC3382"/>
    <w:rsid w:val="00ED0016"/>
    <w:rsid w:val="00EE2F04"/>
    <w:rsid w:val="00EE3AA0"/>
    <w:rsid w:val="00EF1BE0"/>
    <w:rsid w:val="00F44040"/>
    <w:rsid w:val="00F6411C"/>
    <w:rsid w:val="00F84006"/>
    <w:rsid w:val="00F92A2D"/>
    <w:rsid w:val="00F932F4"/>
    <w:rsid w:val="00F964C2"/>
    <w:rsid w:val="00FA51DF"/>
    <w:rsid w:val="00FB3EF1"/>
    <w:rsid w:val="00FC2DE1"/>
    <w:rsid w:val="00FC5CAB"/>
    <w:rsid w:val="00FD0171"/>
    <w:rsid w:val="00FE08BE"/>
    <w:rsid w:val="036B746A"/>
    <w:rsid w:val="036D3E6B"/>
    <w:rsid w:val="05235D34"/>
    <w:rsid w:val="06A20A39"/>
    <w:rsid w:val="070D4D1D"/>
    <w:rsid w:val="07EF4369"/>
    <w:rsid w:val="08D12F00"/>
    <w:rsid w:val="0B1E3C3C"/>
    <w:rsid w:val="0B3049D6"/>
    <w:rsid w:val="0B692FE1"/>
    <w:rsid w:val="0C2B51DF"/>
    <w:rsid w:val="0C480258"/>
    <w:rsid w:val="0CD00F0A"/>
    <w:rsid w:val="0EBD0E70"/>
    <w:rsid w:val="0F712BB6"/>
    <w:rsid w:val="102354BF"/>
    <w:rsid w:val="121A010C"/>
    <w:rsid w:val="14EE629B"/>
    <w:rsid w:val="16F83C72"/>
    <w:rsid w:val="179648C8"/>
    <w:rsid w:val="1B252495"/>
    <w:rsid w:val="1CC25C22"/>
    <w:rsid w:val="1D2C7F08"/>
    <w:rsid w:val="1E501745"/>
    <w:rsid w:val="1EA17C89"/>
    <w:rsid w:val="204737CE"/>
    <w:rsid w:val="2157330E"/>
    <w:rsid w:val="22246072"/>
    <w:rsid w:val="273B2C0F"/>
    <w:rsid w:val="27A929FE"/>
    <w:rsid w:val="2BF6045A"/>
    <w:rsid w:val="2C21126A"/>
    <w:rsid w:val="2C752F1C"/>
    <w:rsid w:val="2CAD3A94"/>
    <w:rsid w:val="2D970E2C"/>
    <w:rsid w:val="2E3E0F1F"/>
    <w:rsid w:val="2E755089"/>
    <w:rsid w:val="31232758"/>
    <w:rsid w:val="33D83D93"/>
    <w:rsid w:val="34A54B0F"/>
    <w:rsid w:val="38067478"/>
    <w:rsid w:val="38147E3B"/>
    <w:rsid w:val="389D0C80"/>
    <w:rsid w:val="3B857ED9"/>
    <w:rsid w:val="3B9B0C14"/>
    <w:rsid w:val="3D9B21BA"/>
    <w:rsid w:val="3EE83FF7"/>
    <w:rsid w:val="3F40671A"/>
    <w:rsid w:val="3FEE08F8"/>
    <w:rsid w:val="40811190"/>
    <w:rsid w:val="43673D14"/>
    <w:rsid w:val="43E04937"/>
    <w:rsid w:val="44173ECB"/>
    <w:rsid w:val="44421984"/>
    <w:rsid w:val="449744EA"/>
    <w:rsid w:val="44A44BC4"/>
    <w:rsid w:val="44AD2E0D"/>
    <w:rsid w:val="45282C26"/>
    <w:rsid w:val="4675674D"/>
    <w:rsid w:val="46C035F8"/>
    <w:rsid w:val="4887486B"/>
    <w:rsid w:val="4D7D7DB9"/>
    <w:rsid w:val="4F6F4F2D"/>
    <w:rsid w:val="51BE544C"/>
    <w:rsid w:val="526E1E56"/>
    <w:rsid w:val="5338480E"/>
    <w:rsid w:val="562166FF"/>
    <w:rsid w:val="56E90240"/>
    <w:rsid w:val="57A23368"/>
    <w:rsid w:val="57EF7F46"/>
    <w:rsid w:val="58815E06"/>
    <w:rsid w:val="5C1A7245"/>
    <w:rsid w:val="5CCC66E6"/>
    <w:rsid w:val="5EC47139"/>
    <w:rsid w:val="659F2553"/>
    <w:rsid w:val="66EF4E57"/>
    <w:rsid w:val="67A4342A"/>
    <w:rsid w:val="6A215794"/>
    <w:rsid w:val="6A4B6DFD"/>
    <w:rsid w:val="6AAB5A90"/>
    <w:rsid w:val="6C160F2C"/>
    <w:rsid w:val="6D485437"/>
    <w:rsid w:val="6E0648A0"/>
    <w:rsid w:val="6E995A95"/>
    <w:rsid w:val="6FA44DF9"/>
    <w:rsid w:val="7229607F"/>
    <w:rsid w:val="734431CE"/>
    <w:rsid w:val="73D25D6E"/>
    <w:rsid w:val="740B40E6"/>
    <w:rsid w:val="75187F78"/>
    <w:rsid w:val="754E378A"/>
    <w:rsid w:val="75D7090C"/>
    <w:rsid w:val="77260526"/>
    <w:rsid w:val="77B72634"/>
    <w:rsid w:val="77E41DF5"/>
    <w:rsid w:val="77F40DE4"/>
    <w:rsid w:val="7AF721A5"/>
    <w:rsid w:val="7BBC67DB"/>
    <w:rsid w:val="7CDC7A49"/>
    <w:rsid w:val="7DD37E5E"/>
    <w:rsid w:val="7E4234E1"/>
    <w:rsid w:val="7E637C8C"/>
    <w:rsid w:val="7F1A552A"/>
    <w:rsid w:val="7F74206A"/>
    <w:rsid w:val="7FB31700"/>
    <w:rsid w:val="7FD03A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简体" w:cs="Calibri"/>
      <w:kern w:val="2"/>
      <w:sz w:val="32"/>
      <w:szCs w:val="32"/>
      <w:lang w:val="en-US" w:eastAsia="zh-CN" w:bidi="ar-SA"/>
    </w:rPr>
  </w:style>
  <w:style w:type="paragraph" w:styleId="3">
    <w:name w:val="heading 1"/>
    <w:basedOn w:val="1"/>
    <w:next w:val="1"/>
    <w:link w:val="19"/>
    <w:qFormat/>
    <w:uiPriority w:val="99"/>
    <w:pPr>
      <w:spacing w:beforeAutospacing="1" w:afterAutospacing="1"/>
      <w:jc w:val="left"/>
      <w:outlineLvl w:val="0"/>
    </w:pPr>
    <w:rPr>
      <w:rFonts w:ascii="宋体" w:hAnsi="宋体" w:eastAsia="宋体" w:cs="宋体"/>
      <w:b/>
      <w:bCs/>
      <w:kern w:val="44"/>
      <w:sz w:val="48"/>
      <w:szCs w:val="48"/>
    </w:rPr>
  </w:style>
  <w:style w:type="paragraph" w:styleId="2">
    <w:name w:val="heading 3"/>
    <w:basedOn w:val="1"/>
    <w:next w:val="1"/>
    <w:link w:val="20"/>
    <w:qFormat/>
    <w:uiPriority w:val="99"/>
    <w:pPr>
      <w:spacing w:line="600" w:lineRule="exact"/>
      <w:ind w:firstLine="640" w:firstLineChars="200"/>
      <w:outlineLvl w:val="2"/>
    </w:pPr>
    <w:rPr>
      <w:rFonts w:ascii="黑体" w:hAnsi="黑体" w:eastAsia="黑体" w:cs="黑体"/>
      <w:color w:val="000000"/>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caption"/>
    <w:basedOn w:val="1"/>
    <w:next w:val="1"/>
    <w:qFormat/>
    <w:uiPriority w:val="99"/>
    <w:rPr>
      <w:sz w:val="20"/>
      <w:szCs w:val="20"/>
    </w:rPr>
  </w:style>
  <w:style w:type="paragraph" w:styleId="5">
    <w:name w:val="annotation text"/>
    <w:basedOn w:val="1"/>
    <w:link w:val="28"/>
    <w:semiHidden/>
    <w:unhideWhenUsed/>
    <w:uiPriority w:val="99"/>
    <w:pPr>
      <w:jc w:val="left"/>
    </w:pPr>
  </w:style>
  <w:style w:type="paragraph" w:styleId="6">
    <w:name w:val="Balloon Text"/>
    <w:basedOn w:val="1"/>
    <w:link w:val="27"/>
    <w:semiHidden/>
    <w:unhideWhenUsed/>
    <w:qFormat/>
    <w:uiPriority w:val="99"/>
    <w:rPr>
      <w:rFonts w:ascii="宋体" w:eastAsia="宋体"/>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kern w:val="0"/>
      <w:sz w:val="24"/>
      <w:szCs w:val="24"/>
    </w:rPr>
  </w:style>
  <w:style w:type="paragraph" w:styleId="10">
    <w:name w:val="annotation subject"/>
    <w:basedOn w:val="5"/>
    <w:next w:val="5"/>
    <w:link w:val="29"/>
    <w:semiHidden/>
    <w:unhideWhenUsed/>
    <w:uiPriority w:val="99"/>
    <w:rPr>
      <w:b/>
      <w:bCs/>
    </w:rPr>
  </w:style>
  <w:style w:type="table" w:styleId="12">
    <w:name w:val="Table Grid"/>
    <w:basedOn w:val="11"/>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99"/>
    <w:rPr>
      <w:b/>
      <w:bCs/>
    </w:rPr>
  </w:style>
  <w:style w:type="character" w:styleId="15">
    <w:name w:val="page number"/>
    <w:basedOn w:val="13"/>
    <w:qFormat/>
    <w:uiPriority w:val="99"/>
  </w:style>
  <w:style w:type="character" w:styleId="16">
    <w:name w:val="FollowedHyperlink"/>
    <w:uiPriority w:val="99"/>
    <w:rPr>
      <w:color w:val="800080"/>
      <w:u w:val="none"/>
    </w:rPr>
  </w:style>
  <w:style w:type="character" w:styleId="17">
    <w:name w:val="Hyperlink"/>
    <w:qFormat/>
    <w:uiPriority w:val="99"/>
    <w:rPr>
      <w:color w:val="0000FF"/>
      <w:u w:val="none"/>
    </w:rPr>
  </w:style>
  <w:style w:type="character" w:styleId="18">
    <w:name w:val="annotation reference"/>
    <w:semiHidden/>
    <w:unhideWhenUsed/>
    <w:qFormat/>
    <w:uiPriority w:val="99"/>
    <w:rPr>
      <w:sz w:val="21"/>
      <w:szCs w:val="21"/>
    </w:rPr>
  </w:style>
  <w:style w:type="character" w:customStyle="1" w:styleId="19">
    <w:name w:val="标题 1 字符"/>
    <w:link w:val="3"/>
    <w:qFormat/>
    <w:uiPriority w:val="9"/>
    <w:rPr>
      <w:rFonts w:eastAsia="方正仿宋简体" w:cs="Calibri"/>
      <w:b/>
      <w:bCs/>
      <w:kern w:val="44"/>
      <w:sz w:val="44"/>
      <w:szCs w:val="44"/>
    </w:rPr>
  </w:style>
  <w:style w:type="character" w:customStyle="1" w:styleId="20">
    <w:name w:val="标题 3 字符"/>
    <w:link w:val="2"/>
    <w:semiHidden/>
    <w:qFormat/>
    <w:uiPriority w:val="9"/>
    <w:rPr>
      <w:rFonts w:eastAsia="方正仿宋简体" w:cs="Calibri"/>
      <w:b/>
      <w:bCs/>
      <w:sz w:val="32"/>
      <w:szCs w:val="32"/>
    </w:rPr>
  </w:style>
  <w:style w:type="character" w:customStyle="1" w:styleId="21">
    <w:name w:val="页脚 字符"/>
    <w:link w:val="7"/>
    <w:semiHidden/>
    <w:qFormat/>
    <w:uiPriority w:val="99"/>
    <w:rPr>
      <w:rFonts w:eastAsia="方正仿宋简体" w:cs="Calibri"/>
      <w:sz w:val="18"/>
      <w:szCs w:val="18"/>
    </w:rPr>
  </w:style>
  <w:style w:type="character" w:customStyle="1" w:styleId="22">
    <w:name w:val="页眉 字符"/>
    <w:link w:val="8"/>
    <w:semiHidden/>
    <w:qFormat/>
    <w:uiPriority w:val="99"/>
    <w:rPr>
      <w:rFonts w:eastAsia="方正仿宋简体" w:cs="Calibri"/>
      <w:sz w:val="18"/>
      <w:szCs w:val="18"/>
    </w:rPr>
  </w:style>
  <w:style w:type="character" w:customStyle="1" w:styleId="23">
    <w:name w:val="hover21"/>
    <w:qFormat/>
    <w:uiPriority w:val="99"/>
    <w:rPr>
      <w:color w:val="auto"/>
    </w:rPr>
  </w:style>
  <w:style w:type="paragraph" w:customStyle="1" w:styleId="24">
    <w:name w:val="彩色列表 - 强调文字颜色 11"/>
    <w:basedOn w:val="1"/>
    <w:qFormat/>
    <w:uiPriority w:val="99"/>
    <w:pPr>
      <w:ind w:firstLine="420" w:firstLineChars="200"/>
    </w:pPr>
    <w:rPr>
      <w:rFonts w:ascii="Cambria" w:hAnsi="Cambria" w:cs="Cambria"/>
    </w:rPr>
  </w:style>
  <w:style w:type="character" w:customStyle="1" w:styleId="25">
    <w:name w:val="NormalCharacter"/>
    <w:semiHidden/>
    <w:qFormat/>
    <w:uiPriority w:val="99"/>
    <w:rPr>
      <w:rFonts w:ascii="Calibri" w:hAnsi="Calibri" w:eastAsia="方正仿宋简体" w:cs="Calibri"/>
      <w:kern w:val="2"/>
      <w:sz w:val="24"/>
      <w:szCs w:val="24"/>
      <w:lang w:val="en-US" w:eastAsia="zh-CN"/>
    </w:rPr>
  </w:style>
  <w:style w:type="paragraph" w:customStyle="1" w:styleId="26">
    <w:name w:val="Heading3"/>
    <w:basedOn w:val="1"/>
    <w:next w:val="1"/>
    <w:qFormat/>
    <w:uiPriority w:val="99"/>
    <w:pPr>
      <w:spacing w:line="600" w:lineRule="exact"/>
      <w:ind w:firstLine="640" w:firstLineChars="200"/>
      <w:textAlignment w:val="baseline"/>
    </w:pPr>
    <w:rPr>
      <w:rFonts w:ascii="黑体" w:hAnsi="黑体" w:eastAsia="黑体" w:cs="黑体"/>
      <w:color w:val="000000"/>
    </w:rPr>
  </w:style>
  <w:style w:type="character" w:customStyle="1" w:styleId="27">
    <w:name w:val="批注框文本 字符"/>
    <w:link w:val="6"/>
    <w:semiHidden/>
    <w:qFormat/>
    <w:uiPriority w:val="99"/>
    <w:rPr>
      <w:rFonts w:ascii="宋体" w:cs="Calibri"/>
      <w:kern w:val="2"/>
      <w:sz w:val="18"/>
      <w:szCs w:val="18"/>
    </w:rPr>
  </w:style>
  <w:style w:type="character" w:customStyle="1" w:styleId="28">
    <w:name w:val="批注文字 字符"/>
    <w:link w:val="5"/>
    <w:semiHidden/>
    <w:qFormat/>
    <w:uiPriority w:val="99"/>
    <w:rPr>
      <w:rFonts w:eastAsia="方正仿宋简体" w:cs="Calibri"/>
      <w:kern w:val="2"/>
      <w:sz w:val="32"/>
      <w:szCs w:val="32"/>
    </w:rPr>
  </w:style>
  <w:style w:type="character" w:customStyle="1" w:styleId="29">
    <w:name w:val="批注主题 字符"/>
    <w:link w:val="10"/>
    <w:semiHidden/>
    <w:qFormat/>
    <w:uiPriority w:val="99"/>
    <w:rPr>
      <w:rFonts w:eastAsia="方正仿宋简体" w:cs="Calibri"/>
      <w:b/>
      <w:bCs/>
      <w:kern w:val="2"/>
      <w:sz w:val="32"/>
      <w:szCs w:val="32"/>
    </w:rPr>
  </w:style>
  <w:style w:type="paragraph" w:customStyle="1" w:styleId="30">
    <w:name w:val="Revision"/>
    <w:hidden/>
    <w:semiHidden/>
    <w:qFormat/>
    <w:uiPriority w:val="99"/>
    <w:rPr>
      <w:rFonts w:ascii="Calibri" w:hAnsi="Calibri" w:eastAsia="方正仿宋简体" w:cs="Calibri"/>
      <w:kern w:val="2"/>
      <w:sz w:val="32"/>
      <w:szCs w:val="32"/>
      <w:lang w:val="en-US" w:eastAsia="zh-CN" w:bidi="ar-SA"/>
    </w:rPr>
  </w:style>
  <w:style w:type="paragraph" w:customStyle="1" w:styleId="31">
    <w:name w:val="列出段落1"/>
    <w:basedOn w:val="1"/>
    <w:qFormat/>
    <w:uiPriority w:val="34"/>
    <w:pPr>
      <w:ind w:firstLine="420" w:firstLineChars="200"/>
    </w:pPr>
    <w:rPr>
      <w:rFonts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16</Pages>
  <Words>7995</Words>
  <Characters>8219</Characters>
  <Lines>60</Lines>
  <Paragraphs>16</Paragraphs>
  <TotalTime>7</TotalTime>
  <ScaleCrop>false</ScaleCrop>
  <LinksUpToDate>false</LinksUpToDate>
  <CharactersWithSpaces>8266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2022-01-26T03:19:00Z</dcterms:created>
  <dc:creator>XWB</dc:creator>
  <cp:lastModifiedBy>laoli</cp:lastModifiedBy>
  <cp:lastPrinted>2020-11-20T03:24:00Z</cp:lastPrinted>
  <dcterms:modified xsi:type="dcterms:W3CDTF">2023-02-21T02:24:52Z</dcterms:modified>
  <dc:title>南昌大学学位授权点建设年度报告</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71CCA0E2C6D94776A5C25BE1EB55EAD2</vt:lpwstr>
  </property>
</Properties>
</file>