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4"/>
          <w:rFonts w:ascii="Times New Roman" w:hAnsi="Times New Roman" w:eastAsia="方正小标宋简体" w:cs="Times New Roman"/>
          <w:b/>
          <w:bCs/>
          <w:sz w:val="44"/>
          <w:szCs w:val="44"/>
        </w:rPr>
      </w:pPr>
    </w:p>
    <w:p>
      <w:pPr>
        <w:spacing w:after="156" w:line="560" w:lineRule="exact"/>
        <w:jc w:val="center"/>
        <w:textAlignment w:val="baseline"/>
        <w:rPr>
          <w:rStyle w:val="24"/>
          <w:rFonts w:ascii="Times New Roman" w:hAnsi="Times New Roman" w:eastAsia="方正小标宋简体" w:cs="Times New Roman"/>
          <w:sz w:val="44"/>
          <w:szCs w:val="44"/>
        </w:rPr>
      </w:pPr>
    </w:p>
    <w:p>
      <w:pPr>
        <w:spacing w:after="156" w:line="560" w:lineRule="exact"/>
        <w:jc w:val="center"/>
        <w:textAlignment w:val="baseline"/>
        <w:rPr>
          <w:rStyle w:val="24"/>
          <w:rFonts w:ascii="Times New Roman" w:hAnsi="Times New Roman" w:eastAsia="方正小标宋简体" w:cs="Times New Roman"/>
          <w:sz w:val="44"/>
          <w:szCs w:val="44"/>
        </w:rPr>
      </w:pPr>
    </w:p>
    <w:p>
      <w:pPr>
        <w:spacing w:after="156" w:line="560" w:lineRule="exact"/>
        <w:jc w:val="center"/>
        <w:textAlignment w:val="baseline"/>
        <w:rPr>
          <w:rStyle w:val="24"/>
          <w:rFonts w:ascii="Times New Roman" w:hAnsi="Times New Roman" w:eastAsia="方正小标宋简体" w:cs="Times New Roman"/>
          <w:sz w:val="44"/>
          <w:szCs w:val="44"/>
        </w:rPr>
      </w:pPr>
      <w:r>
        <w:rPr>
          <w:rStyle w:val="24"/>
          <w:rFonts w:ascii="Times New Roman" w:hAnsi="Times New Roman" w:eastAsia="方正小标宋简体" w:cs="Times New Roman"/>
          <w:sz w:val="44"/>
          <w:szCs w:val="44"/>
        </w:rPr>
        <w:t>南昌大学学位授权点建设年度报告</w:t>
      </w:r>
    </w:p>
    <w:p>
      <w:pPr>
        <w:spacing w:after="156" w:line="560" w:lineRule="exact"/>
        <w:jc w:val="center"/>
        <w:textAlignment w:val="baseline"/>
        <w:rPr>
          <w:rStyle w:val="24"/>
          <w:rFonts w:ascii="Times New Roman" w:hAnsi="Times New Roman" w:eastAsia="方正小标宋简体" w:cs="Times New Roman"/>
          <w:sz w:val="44"/>
          <w:szCs w:val="44"/>
        </w:rPr>
      </w:pPr>
      <w:r>
        <w:rPr>
          <w:rStyle w:val="24"/>
          <w:rFonts w:ascii="Times New Roman" w:hAnsi="Times New Roman" w:eastAsia="方正小标宋简体" w:cs="Times New Roman"/>
          <w:sz w:val="44"/>
          <w:szCs w:val="44"/>
        </w:rPr>
        <w:t>（202</w:t>
      </w:r>
      <w:r>
        <w:rPr>
          <w:rStyle w:val="24"/>
          <w:rFonts w:hint="eastAsia" w:ascii="Times New Roman" w:hAnsi="Times New Roman" w:eastAsia="方正小标宋简体" w:cs="Times New Roman"/>
          <w:sz w:val="44"/>
          <w:szCs w:val="44"/>
          <w:lang w:val="en-US"/>
        </w:rPr>
        <w:t>2</w:t>
      </w:r>
      <w:r>
        <w:rPr>
          <w:rStyle w:val="24"/>
          <w:rFonts w:ascii="Times New Roman" w:hAnsi="Times New Roman" w:eastAsia="方正小标宋简体" w:cs="Times New Roman"/>
          <w:sz w:val="44"/>
          <w:szCs w:val="44"/>
        </w:rPr>
        <w:t>年）</w:t>
      </w:r>
    </w:p>
    <w:p>
      <w:pPr>
        <w:spacing w:after="156" w:line="560" w:lineRule="exact"/>
        <w:jc w:val="center"/>
        <w:textAlignment w:val="baseline"/>
        <w:rPr>
          <w:rStyle w:val="24"/>
          <w:rFonts w:ascii="Times New Roman" w:hAnsi="Times New Roman" w:eastAsia="方正小标宋简体" w:cs="Times New Roman"/>
          <w:sz w:val="44"/>
          <w:szCs w:val="44"/>
        </w:rPr>
      </w:pPr>
    </w:p>
    <w:p>
      <w:pPr>
        <w:snapToGrid w:val="0"/>
        <w:jc w:val="center"/>
        <w:textAlignment w:val="baseline"/>
        <w:rPr>
          <w:rStyle w:val="24"/>
          <w:rFonts w:ascii="Times New Roman" w:hAnsi="Times New Roman" w:eastAsia="宋体" w:cs="Times New Roman"/>
          <w:b/>
          <w:bCs/>
          <w:sz w:val="48"/>
          <w:szCs w:val="48"/>
        </w:rPr>
      </w:pPr>
    </w:p>
    <w:p>
      <w:pPr>
        <w:snapToGrid w:val="0"/>
        <w:jc w:val="center"/>
        <w:textAlignment w:val="baseline"/>
        <w:rPr>
          <w:rStyle w:val="24"/>
          <w:rFonts w:ascii="Times New Roman" w:hAnsi="Times New Roman" w:eastAsia="宋体" w:cs="Times New Roman"/>
          <w:b/>
          <w:bCs/>
          <w:sz w:val="48"/>
          <w:szCs w:val="48"/>
        </w:rPr>
      </w:pPr>
    </w:p>
    <w:p>
      <w:pPr>
        <w:snapToGrid w:val="0"/>
        <w:spacing w:line="300" w:lineRule="auto"/>
        <w:jc w:val="center"/>
        <w:textAlignment w:val="baseline"/>
        <w:rPr>
          <w:rStyle w:val="24"/>
          <w:rFonts w:ascii="Times New Roman" w:hAnsi="Times New Roman" w:eastAsia="宋体" w:cs="Times New Roman"/>
          <w:b/>
          <w:bCs/>
          <w:sz w:val="32"/>
          <w:szCs w:val="32"/>
        </w:rPr>
      </w:pPr>
    </w:p>
    <w:tbl>
      <w:tblPr>
        <w:tblStyle w:val="11"/>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4"/>
                <w:rFonts w:ascii="Times New Roman" w:hAnsi="Times New Roman" w:eastAsia="宋体" w:cs="Times New Roman"/>
                <w:b/>
                <w:bCs/>
                <w:spacing w:val="-10"/>
                <w:sz w:val="32"/>
                <w:szCs w:val="32"/>
              </w:rPr>
            </w:pPr>
            <w:r>
              <w:rPr>
                <w:rStyle w:val="24"/>
                <w:rFonts w:hint="eastAsia" w:ascii="Times New Roman" w:hAnsi="Times New Roman" w:eastAsia="宋体" w:cs="Times New Roman"/>
                <w:b/>
                <w:bCs/>
                <w:spacing w:val="-10"/>
                <w:sz w:val="32"/>
                <w:szCs w:val="32"/>
              </w:rPr>
              <w:t>生命科学</w:t>
            </w:r>
            <w:r>
              <w:rPr>
                <w:rStyle w:val="24"/>
                <w:rFonts w:ascii="Times New Roman" w:hAnsi="Times New Roman" w:eastAsia="宋体" w:cs="Times New Roman"/>
                <w:b/>
                <w:bCs/>
                <w:spacing w:val="-10"/>
                <w:sz w:val="32"/>
                <w:szCs w:val="32"/>
              </w:rPr>
              <w:t>学院</w:t>
            </w:r>
          </w:p>
          <w:p>
            <w:pPr>
              <w:snapToGrid w:val="0"/>
              <w:spacing w:line="240" w:lineRule="atLeast"/>
              <w:jc w:val="center"/>
              <w:textAlignment w:val="baseline"/>
              <w:rPr>
                <w:rStyle w:val="24"/>
                <w:rFonts w:ascii="Times New Roman" w:hAnsi="Times New Roman" w:eastAsia="宋体" w:cs="Times New Roman"/>
                <w:b/>
                <w:bCs/>
                <w:spacing w:val="-10"/>
                <w:sz w:val="32"/>
                <w:szCs w:val="32"/>
              </w:rPr>
            </w:pPr>
            <w:r>
              <w:rPr>
                <w:rStyle w:val="24"/>
                <w:rFonts w:ascii="Times New Roman" w:hAnsi="Times New Roman" w:eastAsia="宋体" w:cs="Times New Roman"/>
                <w:b/>
                <w:bCs/>
                <w:spacing w:val="-10"/>
                <w:sz w:val="32"/>
                <w:szCs w:val="32"/>
              </w:rPr>
              <w:t>（公章）</w:t>
            </w:r>
          </w:p>
        </w:tc>
        <w:tc>
          <w:tcPr>
            <w:tcW w:w="3977" w:type="dxa"/>
            <w:tcBorders>
              <w:top w:val="nil"/>
              <w:right w:val="nil"/>
            </w:tcBorders>
            <w:vAlign w:val="center"/>
          </w:tcPr>
          <w:p>
            <w:pPr>
              <w:snapToGrid w:val="0"/>
              <w:spacing w:line="300" w:lineRule="auto"/>
              <w:textAlignment w:val="baseline"/>
              <w:rPr>
                <w:rStyle w:val="24"/>
                <w:rFonts w:ascii="Times New Roman" w:hAnsi="Times New Roman" w:eastAsia="宋体" w:cs="Times New Roman"/>
                <w:b/>
                <w:bCs/>
                <w:spacing w:val="-10"/>
                <w:sz w:val="32"/>
                <w:szCs w:val="32"/>
              </w:rPr>
            </w:pPr>
            <w:r>
              <w:rPr>
                <w:rStyle w:val="24"/>
                <w:rFonts w:ascii="Times New Roman" w:hAnsi="Times New Roman" w:eastAsia="宋体" w:cs="Times New Roman"/>
                <w:b/>
                <w:bCs/>
                <w:spacing w:val="-10"/>
                <w:sz w:val="32"/>
                <w:szCs w:val="32"/>
              </w:rPr>
              <w:t>名称：水产养殖学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4"/>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4"/>
                <w:rFonts w:ascii="Times New Roman" w:hAnsi="Times New Roman" w:eastAsia="宋体" w:cs="Times New Roman"/>
                <w:b/>
                <w:bCs/>
                <w:spacing w:val="-10"/>
                <w:sz w:val="32"/>
                <w:szCs w:val="32"/>
              </w:rPr>
            </w:pPr>
            <w:r>
              <w:rPr>
                <w:rStyle w:val="24"/>
                <w:rFonts w:ascii="Times New Roman" w:hAnsi="Times New Roman" w:eastAsia="宋体" w:cs="Times New Roman"/>
                <w:b/>
                <w:bCs/>
                <w:spacing w:val="-10"/>
                <w:sz w:val="32"/>
                <w:szCs w:val="32"/>
              </w:rPr>
              <w:t>代码：090801</w:t>
            </w:r>
          </w:p>
        </w:tc>
      </w:tr>
    </w:tbl>
    <w:p>
      <w:pPr>
        <w:snapToGrid w:val="0"/>
        <w:spacing w:line="300" w:lineRule="auto"/>
        <w:jc w:val="center"/>
        <w:textAlignment w:val="baseline"/>
        <w:rPr>
          <w:rStyle w:val="24"/>
          <w:rFonts w:ascii="Times New Roman" w:hAnsi="Times New Roman" w:eastAsia="宋体" w:cs="Times New Roman"/>
          <w:b/>
          <w:bCs/>
          <w:sz w:val="48"/>
          <w:szCs w:val="48"/>
        </w:rPr>
      </w:pPr>
    </w:p>
    <w:p>
      <w:pPr>
        <w:spacing w:line="560" w:lineRule="exact"/>
        <w:jc w:val="center"/>
        <w:textAlignment w:val="baseline"/>
        <w:rPr>
          <w:rStyle w:val="24"/>
          <w:rFonts w:ascii="Times New Roman" w:hAnsi="Times New Roman" w:eastAsia="楷体_GB2312" w:cs="Times New Roman"/>
          <w:b/>
          <w:bCs/>
          <w:sz w:val="30"/>
          <w:szCs w:val="30"/>
        </w:rPr>
      </w:pPr>
    </w:p>
    <w:p>
      <w:pPr>
        <w:pStyle w:val="25"/>
        <w:widowControl/>
        <w:rPr>
          <w:rStyle w:val="24"/>
          <w:rFonts w:ascii="Times New Roman" w:hAnsi="Times New Roman" w:eastAsia="黑体" w:cs="Times New Roman"/>
          <w:color w:val="auto"/>
          <w:sz w:val="32"/>
          <w:szCs w:val="32"/>
        </w:rPr>
      </w:pPr>
    </w:p>
    <w:p>
      <w:pPr>
        <w:rPr>
          <w:rStyle w:val="24"/>
          <w:rFonts w:ascii="Times New Roman" w:hAnsi="Times New Roman" w:eastAsia="黑体" w:cs="Times New Roman"/>
          <w:sz w:val="32"/>
          <w:szCs w:val="32"/>
        </w:rPr>
      </w:pPr>
    </w:p>
    <w:p>
      <w:pPr>
        <w:pStyle w:val="2"/>
        <w:outlineLvl w:val="9"/>
        <w:rPr>
          <w:rStyle w:val="24"/>
          <w:rFonts w:ascii="Times New Roman" w:hAnsi="Times New Roman" w:eastAsia="黑体" w:cs="Times New Roman"/>
          <w:color w:val="auto"/>
          <w:sz w:val="32"/>
          <w:szCs w:val="32"/>
        </w:rPr>
      </w:pPr>
    </w:p>
    <w:p>
      <w:pPr>
        <w:rPr>
          <w:rFonts w:ascii="Times New Roman" w:hAnsi="Times New Roman" w:cs="Times New Roman"/>
        </w:rPr>
      </w:pPr>
    </w:p>
    <w:p>
      <w:pPr>
        <w:rPr>
          <w:rFonts w:ascii="Times New Roman" w:hAnsi="Times New Roman" w:cs="Times New Roman"/>
        </w:rPr>
      </w:pPr>
    </w:p>
    <w:p>
      <w:pPr>
        <w:spacing w:line="560" w:lineRule="exact"/>
        <w:jc w:val="center"/>
        <w:textAlignment w:val="baseline"/>
        <w:rPr>
          <w:rStyle w:val="24"/>
          <w:rFonts w:ascii="Times New Roman" w:hAnsi="Times New Roman" w:eastAsia="楷体_GB2312" w:cs="Times New Roman"/>
          <w:b/>
          <w:bCs/>
          <w:sz w:val="30"/>
          <w:szCs w:val="30"/>
        </w:rPr>
      </w:pPr>
    </w:p>
    <w:p>
      <w:pPr>
        <w:spacing w:line="560" w:lineRule="exact"/>
        <w:jc w:val="center"/>
        <w:textAlignment w:val="baseline"/>
        <w:rPr>
          <w:rStyle w:val="24"/>
          <w:rFonts w:ascii="Times New Roman" w:hAnsi="Times New Roman" w:eastAsia="黑体"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4"/>
          <w:rFonts w:ascii="Times New Roman" w:hAnsi="Times New Roman" w:eastAsia="楷体_GB2312" w:cs="Times New Roman"/>
          <w:b/>
          <w:bCs/>
          <w:sz w:val="32"/>
          <w:szCs w:val="32"/>
        </w:rPr>
        <w:t>202</w:t>
      </w:r>
      <w:r>
        <w:rPr>
          <w:rStyle w:val="24"/>
          <w:rFonts w:hint="eastAsia" w:ascii="Times New Roman" w:hAnsi="Times New Roman" w:eastAsia="楷体_GB2312" w:cs="Times New Roman"/>
          <w:b/>
          <w:bCs/>
          <w:sz w:val="32"/>
          <w:szCs w:val="32"/>
          <w:lang w:val="en-US"/>
        </w:rPr>
        <w:t>3</w:t>
      </w:r>
      <w:r>
        <w:rPr>
          <w:rStyle w:val="24"/>
          <w:rFonts w:ascii="Times New Roman" w:hAnsi="Times New Roman" w:eastAsia="楷体_GB2312" w:cs="Times New Roman"/>
          <w:b/>
          <w:bCs/>
          <w:sz w:val="32"/>
          <w:szCs w:val="32"/>
        </w:rPr>
        <w:t xml:space="preserve">年 </w:t>
      </w:r>
      <w:r>
        <w:rPr>
          <w:rStyle w:val="24"/>
          <w:rFonts w:hint="eastAsia" w:ascii="Times New Roman" w:hAnsi="Times New Roman" w:eastAsia="楷体_GB2312" w:cs="Times New Roman"/>
          <w:b/>
          <w:bCs/>
          <w:sz w:val="32"/>
          <w:szCs w:val="32"/>
          <w:lang w:val="en-US"/>
        </w:rPr>
        <w:t>2</w:t>
      </w:r>
      <w:r>
        <w:rPr>
          <w:rStyle w:val="24"/>
          <w:rFonts w:ascii="Times New Roman" w:hAnsi="Times New Roman" w:eastAsia="楷体_GB2312" w:cs="Times New Roman"/>
          <w:b/>
          <w:bCs/>
          <w:sz w:val="32"/>
          <w:szCs w:val="32"/>
        </w:rPr>
        <w:t xml:space="preserve"> 月 2</w:t>
      </w:r>
      <w:r>
        <w:rPr>
          <w:rStyle w:val="24"/>
          <w:rFonts w:hint="eastAsia" w:ascii="Times New Roman" w:hAnsi="Times New Roman" w:eastAsia="楷体_GB2312" w:cs="Times New Roman"/>
          <w:b/>
          <w:bCs/>
          <w:sz w:val="32"/>
          <w:szCs w:val="32"/>
          <w:lang w:val="en-US"/>
        </w:rPr>
        <w:t>1</w:t>
      </w:r>
      <w:r>
        <w:rPr>
          <w:rStyle w:val="24"/>
          <w:rFonts w:ascii="Times New Roman" w:hAnsi="Times New Roman" w:eastAsia="楷体_GB2312" w:cs="Times New Roman"/>
          <w:b/>
          <w:bCs/>
          <w:sz w:val="32"/>
          <w:szCs w:val="32"/>
        </w:rPr>
        <w:t xml:space="preserve"> 日</w:t>
      </w:r>
    </w:p>
    <w:p>
      <w:pPr>
        <w:pStyle w:val="29"/>
        <w:spacing w:beforeLines="0" w:afterLines="0" w:line="400" w:lineRule="exact"/>
        <w:jc w:val="center"/>
        <w:rPr>
          <w:rFonts w:hint="default" w:ascii="Times New Roman" w:hAnsi="Times New Roman"/>
          <w:b/>
          <w:color w:val="auto"/>
          <w:sz w:val="36"/>
          <w:szCs w:val="36"/>
        </w:rPr>
      </w:pPr>
      <w:r>
        <w:rPr>
          <w:rFonts w:hint="eastAsia" w:ascii="Times New Roman" w:hAnsi="Times New Roman"/>
          <w:b/>
          <w:color w:val="auto"/>
          <w:sz w:val="36"/>
          <w:szCs w:val="36"/>
          <w:lang w:val="zh-CN"/>
        </w:rPr>
        <w:t>目  录</w:t>
      </w:r>
    </w:p>
    <w:p>
      <w:pPr>
        <w:pStyle w:val="8"/>
        <w:tabs>
          <w:tab w:val="right" w:leader="dot" w:pos="8296"/>
        </w:tabs>
        <w:spacing w:beforeLines="0" w:afterLines="0" w:line="400" w:lineRule="exact"/>
        <w:rPr>
          <w:rFonts w:hint="default"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TOC \o "1-3" \h \z \u </w:instrText>
      </w:r>
      <w:r>
        <w:rPr>
          <w:rFonts w:hint="default" w:ascii="Times New Roman" w:hAnsi="Times New Roman" w:eastAsia="宋体" w:cs="Times New Roman"/>
          <w:sz w:val="28"/>
          <w:szCs w:val="28"/>
        </w:rPr>
        <w:fldChar w:fldCharType="separate"/>
      </w:r>
      <w:r>
        <w:rPr>
          <w:rFonts w:hint="default"/>
          <w:sz w:val="32"/>
          <w:szCs w:val="32"/>
        </w:rPr>
        <w:fldChar w:fldCharType="begin"/>
      </w:r>
      <w:r>
        <w:rPr>
          <w:rFonts w:hint="default"/>
          <w:sz w:val="32"/>
          <w:szCs w:val="32"/>
        </w:rPr>
        <w:instrText xml:space="preserve"> HYPERLINK \l "_Toc99634671" </w:instrText>
      </w:r>
      <w:r>
        <w:rPr>
          <w:rFonts w:hint="default"/>
          <w:sz w:val="32"/>
          <w:szCs w:val="32"/>
        </w:rPr>
        <w:fldChar w:fldCharType="separate"/>
      </w:r>
      <w:r>
        <w:rPr>
          <w:rStyle w:val="17"/>
          <w:rFonts w:hint="eastAsia" w:ascii="Times New Roman" w:hAnsi="Times New Roman" w:eastAsia="黑体" w:cs="Times New Roman"/>
          <w:sz w:val="28"/>
          <w:szCs w:val="28"/>
          <w:lang w:bidi="ar"/>
        </w:rPr>
        <w:t>一、总体概况</w:t>
      </w:r>
      <w:r>
        <w:rPr>
          <w:rFonts w:hint="default"/>
          <w:sz w:val="28"/>
          <w:szCs w:val="28"/>
        </w:rPr>
        <w:tab/>
      </w:r>
      <w:r>
        <w:rPr>
          <w:rFonts w:hint="default"/>
          <w:sz w:val="28"/>
          <w:szCs w:val="28"/>
        </w:rPr>
        <w:fldChar w:fldCharType="begin"/>
      </w:r>
      <w:r>
        <w:rPr>
          <w:rFonts w:hint="default"/>
          <w:sz w:val="28"/>
          <w:szCs w:val="28"/>
        </w:rPr>
        <w:instrText xml:space="preserve"> PAGEREF _Toc99634671 \h </w:instrText>
      </w:r>
      <w:r>
        <w:rPr>
          <w:rFonts w:hint="default"/>
          <w:sz w:val="28"/>
          <w:szCs w:val="28"/>
        </w:rPr>
        <w:fldChar w:fldCharType="separate"/>
      </w:r>
      <w:r>
        <w:rPr>
          <w:rFonts w:hint="default"/>
          <w:sz w:val="28"/>
          <w:szCs w:val="28"/>
        </w:rPr>
        <w:t>3</w:t>
      </w:r>
      <w:r>
        <w:rPr>
          <w:rFonts w:hint="default"/>
          <w:sz w:val="28"/>
          <w:szCs w:val="28"/>
        </w:rPr>
        <w:fldChar w:fldCharType="end"/>
      </w:r>
      <w:r>
        <w:rPr>
          <w:rFonts w:hint="default"/>
          <w:sz w:val="28"/>
          <w:szCs w:val="28"/>
        </w:rPr>
        <w:fldChar w:fldCharType="end"/>
      </w:r>
    </w:p>
    <w:p>
      <w:pPr>
        <w:pStyle w:val="9"/>
        <w:tabs>
          <w:tab w:val="right" w:leader="dot" w:pos="8296"/>
        </w:tabs>
        <w:spacing w:beforeLines="0" w:afterLines="0"/>
        <w:rPr>
          <w:rFonts w:hint="default" w:ascii="Calibri" w:hAnsi="Calibri"/>
          <w:sz w:val="28"/>
          <w:szCs w:val="28"/>
        </w:rPr>
      </w:pPr>
      <w:r>
        <w:rPr>
          <w:rFonts w:hint="default"/>
          <w:sz w:val="28"/>
          <w:szCs w:val="28"/>
        </w:rPr>
        <w:fldChar w:fldCharType="begin"/>
      </w:r>
      <w:r>
        <w:rPr>
          <w:rFonts w:hint="default"/>
          <w:sz w:val="28"/>
          <w:szCs w:val="28"/>
        </w:rPr>
        <w:instrText xml:space="preserve"> HYPERLINK \l "_Toc99634672" </w:instrText>
      </w:r>
      <w:r>
        <w:rPr>
          <w:rFonts w:hint="default"/>
          <w:sz w:val="28"/>
          <w:szCs w:val="28"/>
        </w:rPr>
        <w:fldChar w:fldCharType="separate"/>
      </w:r>
      <w:r>
        <w:rPr>
          <w:rStyle w:val="17"/>
          <w:rFonts w:hint="default"/>
          <w:sz w:val="28"/>
          <w:szCs w:val="28"/>
          <w:lang w:bidi="ar"/>
        </w:rPr>
        <w:t>1</w:t>
      </w:r>
      <w:r>
        <w:rPr>
          <w:rStyle w:val="17"/>
          <w:rFonts w:hint="eastAsia"/>
          <w:sz w:val="28"/>
          <w:szCs w:val="28"/>
          <w:lang w:bidi="ar"/>
        </w:rPr>
        <w:t>．学位授权点基本情况</w:t>
      </w:r>
      <w:r>
        <w:rPr>
          <w:rFonts w:hint="default"/>
          <w:sz w:val="28"/>
          <w:szCs w:val="28"/>
        </w:rPr>
        <w:tab/>
      </w:r>
      <w:r>
        <w:rPr>
          <w:rFonts w:hint="default"/>
          <w:sz w:val="28"/>
          <w:szCs w:val="28"/>
        </w:rPr>
        <w:fldChar w:fldCharType="begin"/>
      </w:r>
      <w:r>
        <w:rPr>
          <w:rFonts w:hint="default"/>
          <w:sz w:val="28"/>
          <w:szCs w:val="28"/>
        </w:rPr>
        <w:instrText xml:space="preserve"> PAGEREF _Toc99634672 \h </w:instrText>
      </w:r>
      <w:r>
        <w:rPr>
          <w:rFonts w:hint="default"/>
          <w:sz w:val="28"/>
          <w:szCs w:val="28"/>
        </w:rPr>
        <w:fldChar w:fldCharType="separate"/>
      </w:r>
      <w:r>
        <w:rPr>
          <w:rFonts w:hint="default"/>
          <w:sz w:val="28"/>
          <w:szCs w:val="28"/>
        </w:rPr>
        <w:t>3</w:t>
      </w:r>
      <w:r>
        <w:rPr>
          <w:rFonts w:hint="default"/>
          <w:sz w:val="28"/>
          <w:szCs w:val="28"/>
        </w:rPr>
        <w:fldChar w:fldCharType="end"/>
      </w:r>
      <w:r>
        <w:rPr>
          <w:rFonts w:hint="default"/>
          <w:sz w:val="28"/>
          <w:szCs w:val="28"/>
        </w:rPr>
        <w:fldChar w:fldCharType="end"/>
      </w:r>
    </w:p>
    <w:p>
      <w:pPr>
        <w:pStyle w:val="9"/>
        <w:tabs>
          <w:tab w:val="right" w:leader="dot" w:pos="8296"/>
        </w:tabs>
        <w:spacing w:beforeLines="0" w:afterLines="0"/>
        <w:rPr>
          <w:rFonts w:hint="default" w:ascii="Calibri" w:hAnsi="Calibri"/>
          <w:sz w:val="28"/>
          <w:szCs w:val="28"/>
        </w:rPr>
      </w:pPr>
      <w:r>
        <w:rPr>
          <w:rFonts w:hint="default"/>
          <w:sz w:val="28"/>
          <w:szCs w:val="28"/>
        </w:rPr>
        <w:fldChar w:fldCharType="begin"/>
      </w:r>
      <w:r>
        <w:rPr>
          <w:rFonts w:hint="default"/>
          <w:sz w:val="28"/>
          <w:szCs w:val="28"/>
        </w:rPr>
        <w:instrText xml:space="preserve"> HYPERLINK \l "_Toc99634673" </w:instrText>
      </w:r>
      <w:r>
        <w:rPr>
          <w:rFonts w:hint="default"/>
          <w:sz w:val="28"/>
          <w:szCs w:val="28"/>
        </w:rPr>
        <w:fldChar w:fldCharType="separate"/>
      </w:r>
      <w:r>
        <w:rPr>
          <w:rStyle w:val="17"/>
          <w:rFonts w:hint="default"/>
          <w:sz w:val="28"/>
          <w:szCs w:val="28"/>
          <w:lang w:bidi="ar"/>
        </w:rPr>
        <w:t>2</w:t>
      </w:r>
      <w:r>
        <w:rPr>
          <w:rStyle w:val="17"/>
          <w:rFonts w:hint="eastAsia"/>
          <w:sz w:val="28"/>
          <w:szCs w:val="28"/>
          <w:lang w:bidi="ar"/>
        </w:rPr>
        <w:t>．学科建设情况</w:t>
      </w:r>
      <w:r>
        <w:rPr>
          <w:rFonts w:hint="default"/>
          <w:sz w:val="28"/>
          <w:szCs w:val="28"/>
        </w:rPr>
        <w:tab/>
      </w:r>
      <w:r>
        <w:rPr>
          <w:rFonts w:hint="eastAsia"/>
          <w:sz w:val="28"/>
          <w:szCs w:val="28"/>
          <w:lang w:val="en-US" w:eastAsia="zh-CN"/>
        </w:rPr>
        <w:t>3</w:t>
      </w:r>
      <w:r>
        <w:rPr>
          <w:rFonts w:hint="default"/>
          <w:sz w:val="28"/>
          <w:szCs w:val="28"/>
        </w:rPr>
        <w:fldChar w:fldCharType="end"/>
      </w:r>
    </w:p>
    <w:p>
      <w:pPr>
        <w:pStyle w:val="9"/>
        <w:tabs>
          <w:tab w:val="right" w:leader="dot" w:pos="8296"/>
        </w:tabs>
        <w:spacing w:beforeLines="0" w:afterLines="0"/>
        <w:rPr>
          <w:rFonts w:hint="default" w:ascii="Calibri" w:hAnsi="Calibri"/>
          <w:sz w:val="28"/>
          <w:szCs w:val="28"/>
        </w:rPr>
      </w:pPr>
      <w:r>
        <w:rPr>
          <w:rFonts w:hint="default"/>
          <w:sz w:val="28"/>
          <w:szCs w:val="28"/>
        </w:rPr>
        <w:fldChar w:fldCharType="begin"/>
      </w:r>
      <w:r>
        <w:rPr>
          <w:rFonts w:hint="default"/>
          <w:sz w:val="28"/>
          <w:szCs w:val="28"/>
        </w:rPr>
        <w:instrText xml:space="preserve"> HYPERLINK \l "_Toc99634674" </w:instrText>
      </w:r>
      <w:r>
        <w:rPr>
          <w:rFonts w:hint="default"/>
          <w:sz w:val="28"/>
          <w:szCs w:val="28"/>
        </w:rPr>
        <w:fldChar w:fldCharType="separate"/>
      </w:r>
      <w:r>
        <w:rPr>
          <w:rStyle w:val="17"/>
          <w:rFonts w:hint="default"/>
          <w:sz w:val="28"/>
          <w:szCs w:val="28"/>
        </w:rPr>
        <w:t>3</w:t>
      </w:r>
      <w:r>
        <w:rPr>
          <w:rStyle w:val="17"/>
          <w:rFonts w:hint="eastAsia"/>
          <w:sz w:val="28"/>
          <w:szCs w:val="28"/>
          <w:lang w:bidi="ar"/>
        </w:rPr>
        <w:t>．</w:t>
      </w:r>
      <w:r>
        <w:rPr>
          <w:rStyle w:val="17"/>
          <w:rFonts w:hint="eastAsia"/>
          <w:sz w:val="28"/>
          <w:szCs w:val="28"/>
        </w:rPr>
        <w:t>研究生招生、在读、毕业、学位授予及就业状况</w:t>
      </w:r>
      <w:r>
        <w:rPr>
          <w:rFonts w:hint="default"/>
          <w:sz w:val="28"/>
          <w:szCs w:val="28"/>
        </w:rPr>
        <w:tab/>
      </w:r>
      <w:r>
        <w:rPr>
          <w:rFonts w:hint="eastAsia"/>
          <w:sz w:val="28"/>
          <w:szCs w:val="28"/>
          <w:lang w:val="en-US" w:eastAsia="zh-CN"/>
        </w:rPr>
        <w:t>6</w:t>
      </w:r>
      <w:r>
        <w:rPr>
          <w:rFonts w:hint="default"/>
          <w:sz w:val="28"/>
          <w:szCs w:val="28"/>
        </w:rPr>
        <w:fldChar w:fldCharType="end"/>
      </w:r>
    </w:p>
    <w:p>
      <w:pPr>
        <w:pStyle w:val="9"/>
        <w:tabs>
          <w:tab w:val="right" w:leader="dot" w:pos="8296"/>
        </w:tabs>
        <w:spacing w:beforeLines="0" w:afterLines="0"/>
        <w:rPr>
          <w:rFonts w:hint="default" w:ascii="Calibri" w:hAnsi="Calibri"/>
          <w:sz w:val="28"/>
          <w:szCs w:val="28"/>
        </w:rPr>
      </w:pPr>
      <w:r>
        <w:rPr>
          <w:rFonts w:hint="default"/>
          <w:sz w:val="28"/>
          <w:szCs w:val="28"/>
        </w:rPr>
        <w:fldChar w:fldCharType="begin"/>
      </w:r>
      <w:r>
        <w:rPr>
          <w:rFonts w:hint="default"/>
          <w:sz w:val="28"/>
          <w:szCs w:val="28"/>
        </w:rPr>
        <w:instrText xml:space="preserve"> HYPERLINK \l "_Toc99634675" </w:instrText>
      </w:r>
      <w:r>
        <w:rPr>
          <w:rFonts w:hint="default"/>
          <w:sz w:val="28"/>
          <w:szCs w:val="28"/>
        </w:rPr>
        <w:fldChar w:fldCharType="separate"/>
      </w:r>
      <w:r>
        <w:rPr>
          <w:rStyle w:val="17"/>
          <w:rFonts w:hint="default"/>
          <w:sz w:val="28"/>
          <w:szCs w:val="28"/>
        </w:rPr>
        <w:t>4</w:t>
      </w:r>
      <w:r>
        <w:rPr>
          <w:rStyle w:val="17"/>
          <w:rFonts w:hint="eastAsia"/>
          <w:sz w:val="28"/>
          <w:szCs w:val="28"/>
          <w:lang w:bidi="ar"/>
        </w:rPr>
        <w:t>．</w:t>
      </w:r>
      <w:r>
        <w:rPr>
          <w:rStyle w:val="17"/>
          <w:rFonts w:hint="eastAsia"/>
          <w:sz w:val="28"/>
          <w:szCs w:val="28"/>
        </w:rPr>
        <w:t>研究生导师状况（总体规模、队伍结构）</w:t>
      </w:r>
      <w:r>
        <w:rPr>
          <w:rFonts w:hint="default"/>
          <w:sz w:val="28"/>
          <w:szCs w:val="28"/>
        </w:rPr>
        <w:tab/>
      </w:r>
      <w:r>
        <w:rPr>
          <w:rFonts w:hint="eastAsia"/>
          <w:sz w:val="28"/>
          <w:szCs w:val="28"/>
          <w:lang w:val="en-US" w:eastAsia="zh-CN"/>
        </w:rPr>
        <w:t>8</w:t>
      </w:r>
      <w:r>
        <w:rPr>
          <w:rFonts w:hint="default"/>
          <w:sz w:val="28"/>
          <w:szCs w:val="28"/>
        </w:rPr>
        <w:fldChar w:fldCharType="end"/>
      </w:r>
    </w:p>
    <w:p>
      <w:pPr>
        <w:pStyle w:val="8"/>
        <w:tabs>
          <w:tab w:val="right" w:leader="dot" w:pos="8296"/>
        </w:tabs>
        <w:spacing w:beforeLines="0" w:afterLines="0" w:line="400" w:lineRule="exact"/>
        <w:rPr>
          <w:rFonts w:hint="eastAsia" w:eastAsia="方正仿宋简体" w:cs="Times New Roman"/>
          <w:sz w:val="28"/>
          <w:szCs w:val="28"/>
          <w:lang w:val="en-US" w:eastAsia="zh-CN"/>
        </w:rPr>
      </w:pPr>
      <w:r>
        <w:rPr>
          <w:rFonts w:hint="default"/>
          <w:sz w:val="32"/>
          <w:szCs w:val="32"/>
        </w:rPr>
        <w:fldChar w:fldCharType="begin"/>
      </w:r>
      <w:r>
        <w:rPr>
          <w:rFonts w:hint="default"/>
          <w:sz w:val="32"/>
          <w:szCs w:val="32"/>
        </w:rPr>
        <w:instrText xml:space="preserve"> HYPERLINK \l "_Toc99634676" </w:instrText>
      </w:r>
      <w:r>
        <w:rPr>
          <w:rFonts w:hint="default"/>
          <w:sz w:val="32"/>
          <w:szCs w:val="32"/>
        </w:rPr>
        <w:fldChar w:fldCharType="separate"/>
      </w:r>
      <w:r>
        <w:rPr>
          <w:rStyle w:val="17"/>
          <w:rFonts w:hint="eastAsia" w:ascii="Times New Roman" w:hAnsi="Times New Roman" w:eastAsia="黑体" w:cs="Times New Roman"/>
          <w:sz w:val="28"/>
          <w:szCs w:val="28"/>
          <w:lang w:bidi="ar"/>
        </w:rPr>
        <w:t>二、研究生党建与思想政治教育工作</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0</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"_Toc99634677" </w:instrText>
      </w:r>
      <w:r>
        <w:rPr>
          <w:rFonts w:hint="default"/>
          <w:sz w:val="28"/>
          <w:szCs w:val="28"/>
        </w:rPr>
        <w:fldChar w:fldCharType="separate"/>
      </w:r>
      <w:r>
        <w:rPr>
          <w:rStyle w:val="17"/>
          <w:rFonts w:hint="default"/>
          <w:sz w:val="28"/>
          <w:szCs w:val="28"/>
          <w:lang w:bidi="ar"/>
        </w:rPr>
        <w:t>1</w:t>
      </w:r>
      <w:r>
        <w:rPr>
          <w:rStyle w:val="17"/>
          <w:rFonts w:hint="eastAsia"/>
          <w:sz w:val="28"/>
          <w:szCs w:val="28"/>
          <w:lang w:bidi="ar"/>
        </w:rPr>
        <w:t>．挖掘</w:t>
      </w:r>
      <w:r>
        <w:rPr>
          <w:rStyle w:val="17"/>
          <w:rFonts w:hint="eastAsia"/>
          <w:sz w:val="28"/>
          <w:szCs w:val="28"/>
          <w:lang w:val="en-US" w:eastAsia="zh-CN" w:bidi="ar"/>
        </w:rPr>
        <w:t>水产养殖</w:t>
      </w:r>
      <w:r>
        <w:rPr>
          <w:rStyle w:val="17"/>
          <w:rFonts w:hint="eastAsia"/>
          <w:sz w:val="28"/>
          <w:szCs w:val="28"/>
          <w:lang w:bidi="ar"/>
        </w:rPr>
        <w:t>学课程思政元素，实现课程思政全覆盖</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0</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"_Toc99634678" </w:instrText>
      </w:r>
      <w:r>
        <w:rPr>
          <w:rFonts w:hint="default"/>
          <w:sz w:val="28"/>
          <w:szCs w:val="28"/>
        </w:rPr>
        <w:fldChar w:fldCharType="separate"/>
      </w:r>
      <w:r>
        <w:rPr>
          <w:rStyle w:val="17"/>
          <w:rFonts w:hint="default"/>
          <w:sz w:val="28"/>
          <w:szCs w:val="28"/>
          <w:lang w:bidi="ar"/>
        </w:rPr>
        <w:t>2</w:t>
      </w:r>
      <w:r>
        <w:rPr>
          <w:rStyle w:val="17"/>
          <w:rFonts w:hint="eastAsia"/>
          <w:sz w:val="28"/>
          <w:szCs w:val="28"/>
          <w:lang w:bidi="ar"/>
        </w:rPr>
        <w:t>．利用江西红色教育资源，在服务实践中传承红色基因</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0</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"_Toc99634679" </w:instrText>
      </w:r>
      <w:r>
        <w:rPr>
          <w:rFonts w:hint="default"/>
          <w:sz w:val="28"/>
          <w:szCs w:val="28"/>
        </w:rPr>
        <w:fldChar w:fldCharType="separate"/>
      </w:r>
      <w:r>
        <w:rPr>
          <w:rStyle w:val="17"/>
          <w:rFonts w:hint="default"/>
          <w:sz w:val="28"/>
          <w:szCs w:val="28"/>
          <w:lang w:bidi="ar"/>
        </w:rPr>
        <w:t>3</w:t>
      </w:r>
      <w:r>
        <w:rPr>
          <w:rStyle w:val="17"/>
          <w:rFonts w:hint="eastAsia"/>
          <w:sz w:val="28"/>
          <w:szCs w:val="28"/>
          <w:lang w:bidi="ar"/>
        </w:rPr>
        <w:t>．加强党史学习教育，筑牢意识形态防线</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1</w:t>
      </w:r>
    </w:p>
    <w:p>
      <w:pPr>
        <w:pStyle w:val="8"/>
        <w:tabs>
          <w:tab w:val="right" w:leader="dot" w:pos="8296"/>
        </w:tabs>
        <w:spacing w:beforeLines="0" w:afterLines="0" w:line="400" w:lineRule="exact"/>
        <w:rPr>
          <w:rFonts w:hint="eastAsia" w:eastAsia="方正仿宋简体" w:cs="Times New Roman"/>
          <w:sz w:val="28"/>
          <w:szCs w:val="28"/>
          <w:lang w:val="en-US" w:eastAsia="zh-CN"/>
        </w:rPr>
      </w:pPr>
      <w:r>
        <w:rPr>
          <w:rFonts w:hint="default"/>
          <w:sz w:val="32"/>
          <w:szCs w:val="32"/>
        </w:rPr>
        <w:fldChar w:fldCharType="begin"/>
      </w:r>
      <w:r>
        <w:rPr>
          <w:rFonts w:hint="default"/>
          <w:sz w:val="32"/>
          <w:szCs w:val="32"/>
        </w:rPr>
        <w:instrText xml:space="preserve"> HYPERLINK \l "_Toc99634680" </w:instrText>
      </w:r>
      <w:r>
        <w:rPr>
          <w:rFonts w:hint="default"/>
          <w:sz w:val="32"/>
          <w:szCs w:val="32"/>
        </w:rPr>
        <w:fldChar w:fldCharType="separate"/>
      </w:r>
      <w:r>
        <w:rPr>
          <w:rStyle w:val="17"/>
          <w:rFonts w:hint="eastAsia" w:ascii="Times New Roman" w:hAnsi="Times New Roman" w:eastAsia="黑体" w:cs="Times New Roman"/>
          <w:sz w:val="28"/>
          <w:szCs w:val="28"/>
          <w:lang w:bidi="ar"/>
        </w:rPr>
        <w:t>三、研究生培养相关制度及执行情况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2</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"_Toc99634681" </w:instrText>
      </w:r>
      <w:r>
        <w:rPr>
          <w:rFonts w:hint="default"/>
          <w:sz w:val="28"/>
          <w:szCs w:val="28"/>
        </w:rPr>
        <w:fldChar w:fldCharType="separate"/>
      </w:r>
      <w:r>
        <w:rPr>
          <w:rStyle w:val="17"/>
          <w:rFonts w:hint="default"/>
          <w:sz w:val="28"/>
          <w:szCs w:val="28"/>
        </w:rPr>
        <w:t>1</w:t>
      </w:r>
      <w:r>
        <w:rPr>
          <w:rStyle w:val="17"/>
          <w:rFonts w:hint="eastAsia"/>
          <w:sz w:val="28"/>
          <w:szCs w:val="28"/>
          <w:lang w:bidi="ar"/>
        </w:rPr>
        <w:t>．</w:t>
      </w:r>
      <w:r>
        <w:rPr>
          <w:rStyle w:val="17"/>
          <w:rFonts w:hint="eastAsia"/>
          <w:sz w:val="28"/>
          <w:szCs w:val="28"/>
        </w:rPr>
        <w:t>课程建设与实施情况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2</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"_Toc99634682" </w:instrText>
      </w:r>
      <w:r>
        <w:rPr>
          <w:rFonts w:hint="default"/>
          <w:sz w:val="28"/>
          <w:szCs w:val="28"/>
        </w:rPr>
        <w:fldChar w:fldCharType="separate"/>
      </w:r>
      <w:r>
        <w:rPr>
          <w:rStyle w:val="17"/>
          <w:rFonts w:hint="default"/>
          <w:sz w:val="28"/>
          <w:szCs w:val="28"/>
          <w:lang w:bidi="ar"/>
        </w:rPr>
        <w:t>2</w:t>
      </w:r>
      <w:r>
        <w:rPr>
          <w:rStyle w:val="17"/>
          <w:rFonts w:hint="eastAsia"/>
          <w:sz w:val="28"/>
          <w:szCs w:val="28"/>
          <w:lang w:bidi="ar"/>
        </w:rPr>
        <w:t>．导师选拔培训</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2</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"_Toc99634683" </w:instrText>
      </w:r>
      <w:r>
        <w:rPr>
          <w:rFonts w:hint="default"/>
          <w:sz w:val="28"/>
          <w:szCs w:val="28"/>
        </w:rPr>
        <w:fldChar w:fldCharType="separate"/>
      </w:r>
      <w:r>
        <w:rPr>
          <w:rStyle w:val="17"/>
          <w:rFonts w:hint="default"/>
          <w:sz w:val="28"/>
          <w:szCs w:val="28"/>
          <w:lang w:bidi="ar"/>
        </w:rPr>
        <w:t>3</w:t>
      </w:r>
      <w:r>
        <w:rPr>
          <w:rStyle w:val="17"/>
          <w:rFonts w:hint="eastAsia"/>
          <w:sz w:val="28"/>
          <w:szCs w:val="28"/>
          <w:lang w:bidi="ar"/>
        </w:rPr>
        <w:t>．师德师风建设情况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3</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"_Toc99634684" </w:instrText>
      </w:r>
      <w:r>
        <w:rPr>
          <w:rFonts w:hint="default"/>
          <w:sz w:val="28"/>
          <w:szCs w:val="28"/>
        </w:rPr>
        <w:fldChar w:fldCharType="separate"/>
      </w:r>
      <w:r>
        <w:rPr>
          <w:rStyle w:val="17"/>
          <w:rFonts w:hint="default"/>
          <w:sz w:val="28"/>
          <w:szCs w:val="28"/>
          <w:lang w:bidi="ar"/>
        </w:rPr>
        <w:t>4</w:t>
      </w:r>
      <w:r>
        <w:rPr>
          <w:rStyle w:val="17"/>
          <w:rFonts w:hint="eastAsia"/>
          <w:sz w:val="28"/>
          <w:szCs w:val="28"/>
          <w:lang w:bidi="ar"/>
        </w:rPr>
        <w:t>．学术训练情况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3</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"_Toc99634685" </w:instrText>
      </w:r>
      <w:r>
        <w:rPr>
          <w:rFonts w:hint="default"/>
          <w:sz w:val="28"/>
          <w:szCs w:val="28"/>
        </w:rPr>
        <w:fldChar w:fldCharType="separate"/>
      </w:r>
      <w:r>
        <w:rPr>
          <w:rStyle w:val="17"/>
          <w:rFonts w:hint="default"/>
          <w:sz w:val="28"/>
          <w:szCs w:val="28"/>
          <w:lang w:bidi="ar"/>
        </w:rPr>
        <w:t>5</w:t>
      </w:r>
      <w:r>
        <w:rPr>
          <w:rStyle w:val="17"/>
          <w:rFonts w:hint="eastAsia"/>
          <w:sz w:val="28"/>
          <w:szCs w:val="28"/>
          <w:lang w:bidi="ar"/>
        </w:rPr>
        <w:t>．学术交流情况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5</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"_Toc99634686" </w:instrText>
      </w:r>
      <w:r>
        <w:rPr>
          <w:rFonts w:hint="default"/>
          <w:sz w:val="28"/>
          <w:szCs w:val="28"/>
        </w:rPr>
        <w:fldChar w:fldCharType="separate"/>
      </w:r>
      <w:r>
        <w:rPr>
          <w:rStyle w:val="17"/>
          <w:rFonts w:hint="default"/>
          <w:sz w:val="28"/>
          <w:szCs w:val="28"/>
          <w:lang w:bidi="ar"/>
        </w:rPr>
        <w:t>6</w:t>
      </w:r>
      <w:r>
        <w:rPr>
          <w:rStyle w:val="17"/>
          <w:rFonts w:hint="eastAsia"/>
          <w:sz w:val="28"/>
          <w:szCs w:val="28"/>
          <w:lang w:bidi="ar"/>
        </w:rPr>
        <w:t>．研究生奖助情况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5</w:t>
      </w:r>
    </w:p>
    <w:p>
      <w:pPr>
        <w:pStyle w:val="8"/>
        <w:tabs>
          <w:tab w:val="right" w:leader="dot" w:pos="8296"/>
        </w:tabs>
        <w:spacing w:beforeLines="0" w:afterLines="0" w:line="400" w:lineRule="exact"/>
        <w:rPr>
          <w:rFonts w:hint="eastAsia" w:eastAsia="方正仿宋简体" w:cs="Times New Roman"/>
          <w:sz w:val="28"/>
          <w:szCs w:val="28"/>
          <w:lang w:val="en-US" w:eastAsia="zh-CN"/>
        </w:rPr>
      </w:pPr>
      <w:r>
        <w:rPr>
          <w:rFonts w:hint="default"/>
          <w:sz w:val="32"/>
          <w:szCs w:val="32"/>
        </w:rPr>
        <w:fldChar w:fldCharType="begin"/>
      </w:r>
      <w:r>
        <w:rPr>
          <w:rFonts w:hint="default"/>
          <w:sz w:val="32"/>
          <w:szCs w:val="32"/>
        </w:rPr>
        <w:instrText xml:space="preserve"> HYPERLINK \l "_Toc99634687" </w:instrText>
      </w:r>
      <w:r>
        <w:rPr>
          <w:rFonts w:hint="default"/>
          <w:sz w:val="32"/>
          <w:szCs w:val="32"/>
        </w:rPr>
        <w:fldChar w:fldCharType="separate"/>
      </w:r>
      <w:r>
        <w:rPr>
          <w:rStyle w:val="17"/>
          <w:rFonts w:hint="eastAsia" w:ascii="Times New Roman" w:hAnsi="Times New Roman" w:eastAsia="黑体" w:cs="Times New Roman"/>
          <w:sz w:val="28"/>
          <w:szCs w:val="28"/>
          <w:lang w:bidi="ar"/>
        </w:rPr>
        <w:t>四、研究生教育改革情况</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6</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"_Toc99634688" </w:instrText>
      </w:r>
      <w:r>
        <w:rPr>
          <w:rFonts w:hint="default"/>
          <w:sz w:val="28"/>
          <w:szCs w:val="28"/>
        </w:rPr>
        <w:fldChar w:fldCharType="separate"/>
      </w:r>
      <w:r>
        <w:rPr>
          <w:rStyle w:val="17"/>
          <w:rFonts w:hint="default"/>
          <w:sz w:val="28"/>
          <w:szCs w:val="28"/>
        </w:rPr>
        <w:t>1</w:t>
      </w:r>
      <w:r>
        <w:rPr>
          <w:rStyle w:val="17"/>
          <w:rFonts w:hint="eastAsia"/>
          <w:sz w:val="28"/>
          <w:szCs w:val="28"/>
        </w:rPr>
        <w:t>．人才培养</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6</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"_Toc99634689" </w:instrText>
      </w:r>
      <w:r>
        <w:rPr>
          <w:rFonts w:hint="default"/>
          <w:sz w:val="28"/>
          <w:szCs w:val="28"/>
        </w:rPr>
        <w:fldChar w:fldCharType="separate"/>
      </w:r>
      <w:r>
        <w:rPr>
          <w:rStyle w:val="17"/>
          <w:rFonts w:hint="default"/>
          <w:sz w:val="28"/>
          <w:szCs w:val="28"/>
          <w:lang w:bidi="ar"/>
        </w:rPr>
        <w:t>2</w:t>
      </w:r>
      <w:r>
        <w:rPr>
          <w:rStyle w:val="17"/>
          <w:rFonts w:hint="eastAsia"/>
          <w:sz w:val="28"/>
          <w:szCs w:val="28"/>
          <w:lang w:bidi="ar"/>
        </w:rPr>
        <w:t>．教师队伍建设</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7</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"_Toc99634690" </w:instrText>
      </w:r>
      <w:r>
        <w:rPr>
          <w:rFonts w:hint="default"/>
          <w:sz w:val="28"/>
          <w:szCs w:val="28"/>
        </w:rPr>
        <w:fldChar w:fldCharType="separate"/>
      </w:r>
      <w:r>
        <w:rPr>
          <w:rStyle w:val="17"/>
          <w:rFonts w:hint="default"/>
          <w:sz w:val="28"/>
          <w:szCs w:val="28"/>
          <w:lang w:bidi="ar"/>
        </w:rPr>
        <w:t>3</w:t>
      </w:r>
      <w:r>
        <w:rPr>
          <w:rStyle w:val="17"/>
          <w:rFonts w:hint="eastAsia"/>
          <w:sz w:val="28"/>
          <w:szCs w:val="28"/>
          <w:lang w:bidi="ar"/>
        </w:rPr>
        <w:t>．科学研究</w:t>
      </w:r>
      <w:r>
        <w:rPr>
          <w:rFonts w:hint="default"/>
          <w:sz w:val="28"/>
          <w:szCs w:val="28"/>
        </w:rPr>
        <w:tab/>
      </w:r>
      <w:r>
        <w:rPr>
          <w:rFonts w:hint="eastAsia"/>
          <w:sz w:val="28"/>
          <w:szCs w:val="28"/>
          <w:lang w:val="en-US" w:eastAsia="zh-CN"/>
        </w:rPr>
        <w:t>1</w:t>
      </w:r>
      <w:r>
        <w:rPr>
          <w:rFonts w:hint="default"/>
          <w:sz w:val="28"/>
          <w:szCs w:val="28"/>
        </w:rPr>
        <w:fldChar w:fldCharType="end"/>
      </w:r>
      <w:r>
        <w:rPr>
          <w:rFonts w:hint="eastAsia"/>
          <w:sz w:val="28"/>
          <w:szCs w:val="28"/>
          <w:lang w:val="en-US" w:eastAsia="zh-CN"/>
        </w:rPr>
        <w:t>8</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"_Toc99634691" </w:instrText>
      </w:r>
      <w:r>
        <w:rPr>
          <w:rFonts w:hint="default"/>
          <w:sz w:val="28"/>
          <w:szCs w:val="28"/>
        </w:rPr>
        <w:fldChar w:fldCharType="separate"/>
      </w:r>
      <w:r>
        <w:rPr>
          <w:rStyle w:val="17"/>
          <w:rFonts w:hint="default"/>
          <w:sz w:val="28"/>
          <w:szCs w:val="28"/>
          <w:lang w:bidi="ar"/>
        </w:rPr>
        <w:t>4</w:t>
      </w:r>
      <w:r>
        <w:rPr>
          <w:rStyle w:val="17"/>
          <w:rFonts w:hint="eastAsia"/>
          <w:sz w:val="28"/>
          <w:szCs w:val="28"/>
          <w:lang w:bidi="ar"/>
        </w:rPr>
        <w:t>．传承创新优秀文化</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0</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"_Toc99634692" </w:instrText>
      </w:r>
      <w:r>
        <w:rPr>
          <w:rFonts w:hint="default"/>
          <w:sz w:val="28"/>
          <w:szCs w:val="28"/>
        </w:rPr>
        <w:fldChar w:fldCharType="separate"/>
      </w:r>
      <w:r>
        <w:rPr>
          <w:rStyle w:val="17"/>
          <w:rFonts w:hint="default"/>
          <w:sz w:val="28"/>
          <w:szCs w:val="28"/>
          <w:lang w:bidi="ar"/>
        </w:rPr>
        <w:t>5</w:t>
      </w:r>
      <w:r>
        <w:rPr>
          <w:rStyle w:val="17"/>
          <w:rFonts w:hint="eastAsia"/>
          <w:sz w:val="28"/>
          <w:szCs w:val="28"/>
          <w:lang w:bidi="ar"/>
        </w:rPr>
        <w:t>．国际合作交流</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0</w:t>
      </w:r>
    </w:p>
    <w:p>
      <w:pPr>
        <w:pStyle w:val="8"/>
        <w:tabs>
          <w:tab w:val="right" w:leader="dot" w:pos="8296"/>
        </w:tabs>
        <w:spacing w:beforeLines="0" w:afterLines="0" w:line="400" w:lineRule="exact"/>
        <w:rPr>
          <w:rFonts w:hint="eastAsia" w:eastAsia="方正仿宋简体" w:cs="Times New Roman"/>
          <w:sz w:val="28"/>
          <w:szCs w:val="28"/>
          <w:lang w:val="en-US" w:eastAsia="zh-CN"/>
        </w:rPr>
      </w:pPr>
      <w:r>
        <w:rPr>
          <w:rFonts w:hint="default"/>
          <w:sz w:val="32"/>
          <w:szCs w:val="32"/>
        </w:rPr>
        <w:fldChar w:fldCharType="begin"/>
      </w:r>
      <w:r>
        <w:rPr>
          <w:rFonts w:hint="default"/>
          <w:sz w:val="32"/>
          <w:szCs w:val="32"/>
        </w:rPr>
        <w:instrText xml:space="preserve"> HYPERLINK \l "_Toc99634693" </w:instrText>
      </w:r>
      <w:r>
        <w:rPr>
          <w:rFonts w:hint="default"/>
          <w:sz w:val="32"/>
          <w:szCs w:val="32"/>
        </w:rPr>
        <w:fldChar w:fldCharType="separate"/>
      </w:r>
      <w:r>
        <w:rPr>
          <w:rStyle w:val="17"/>
          <w:rFonts w:hint="eastAsia" w:ascii="Times New Roman" w:hAnsi="Times New Roman" w:eastAsia="黑体" w:cs="Times New Roman"/>
          <w:sz w:val="28"/>
          <w:szCs w:val="28"/>
          <w:lang w:bidi="ar"/>
        </w:rPr>
        <w:t>五、教育质量评估与分析</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1</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"_Toc99634694" </w:instrText>
      </w:r>
      <w:r>
        <w:rPr>
          <w:rFonts w:hint="default"/>
          <w:sz w:val="28"/>
          <w:szCs w:val="28"/>
        </w:rPr>
        <w:fldChar w:fldCharType="separate"/>
      </w:r>
      <w:r>
        <w:rPr>
          <w:rStyle w:val="17"/>
          <w:rFonts w:hint="default"/>
          <w:sz w:val="28"/>
          <w:szCs w:val="28"/>
        </w:rPr>
        <w:t>1</w:t>
      </w:r>
      <w:r>
        <w:rPr>
          <w:rStyle w:val="17"/>
          <w:rFonts w:hint="eastAsia"/>
          <w:sz w:val="28"/>
          <w:szCs w:val="28"/>
          <w:lang w:bidi="ar"/>
        </w:rPr>
        <w:t>．</w:t>
      </w:r>
      <w:r>
        <w:rPr>
          <w:rStyle w:val="17"/>
          <w:rFonts w:hint="eastAsia"/>
          <w:sz w:val="28"/>
          <w:szCs w:val="28"/>
        </w:rPr>
        <w:t>学科自我评估进展及问题分析</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1</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"_Toc99634696" </w:instrText>
      </w:r>
      <w:r>
        <w:rPr>
          <w:rFonts w:hint="default"/>
          <w:sz w:val="28"/>
          <w:szCs w:val="28"/>
        </w:rPr>
        <w:fldChar w:fldCharType="separate"/>
      </w:r>
      <w:r>
        <w:rPr>
          <w:rFonts w:hint="eastAsia"/>
          <w:sz w:val="28"/>
          <w:szCs w:val="28"/>
          <w:lang w:val="en-US" w:eastAsia="zh-CN"/>
        </w:rPr>
        <w:t>2</w:t>
      </w:r>
      <w:r>
        <w:rPr>
          <w:rStyle w:val="17"/>
          <w:rFonts w:hint="eastAsia"/>
          <w:sz w:val="28"/>
          <w:szCs w:val="28"/>
          <w:lang w:bidi="ar"/>
        </w:rPr>
        <w:t>．</w:t>
      </w:r>
      <w:r>
        <w:rPr>
          <w:rStyle w:val="17"/>
          <w:rFonts w:hint="eastAsia"/>
          <w:sz w:val="28"/>
          <w:szCs w:val="28"/>
        </w:rPr>
        <w:t>学位论文抽检、盲审情况</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3</w:t>
      </w:r>
    </w:p>
    <w:p>
      <w:pPr>
        <w:pStyle w:val="8"/>
        <w:tabs>
          <w:tab w:val="right" w:leader="dot" w:pos="8296"/>
        </w:tabs>
        <w:spacing w:beforeLines="0" w:afterLines="0" w:line="400" w:lineRule="exact"/>
        <w:rPr>
          <w:rFonts w:hint="eastAsia" w:eastAsia="方正仿宋简体" w:cs="Times New Roman"/>
          <w:sz w:val="28"/>
          <w:szCs w:val="28"/>
          <w:lang w:val="en-US" w:eastAsia="zh-CN"/>
        </w:rPr>
      </w:pPr>
      <w:r>
        <w:rPr>
          <w:rFonts w:hint="default"/>
          <w:sz w:val="32"/>
          <w:szCs w:val="32"/>
        </w:rPr>
        <w:fldChar w:fldCharType="begin"/>
      </w:r>
      <w:r>
        <w:rPr>
          <w:rFonts w:hint="default"/>
          <w:sz w:val="32"/>
          <w:szCs w:val="32"/>
        </w:rPr>
        <w:instrText xml:space="preserve"> HYPERLINK \l "_Toc99634697" </w:instrText>
      </w:r>
      <w:r>
        <w:rPr>
          <w:rFonts w:hint="default"/>
          <w:sz w:val="32"/>
          <w:szCs w:val="32"/>
        </w:rPr>
        <w:fldChar w:fldCharType="separate"/>
      </w:r>
      <w:r>
        <w:rPr>
          <w:rStyle w:val="17"/>
          <w:rFonts w:hint="eastAsia" w:ascii="Times New Roman" w:hAnsi="Times New Roman" w:eastAsia="黑体" w:cs="Times New Roman"/>
          <w:sz w:val="28"/>
          <w:szCs w:val="28"/>
          <w:lang w:bidi="ar"/>
        </w:rPr>
        <w:t>六、改进措施</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3</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"_Toc99634698" </w:instrText>
      </w:r>
      <w:r>
        <w:rPr>
          <w:rFonts w:hint="default"/>
          <w:sz w:val="28"/>
          <w:szCs w:val="28"/>
        </w:rPr>
        <w:fldChar w:fldCharType="separate"/>
      </w:r>
      <w:r>
        <w:rPr>
          <w:rStyle w:val="17"/>
          <w:rFonts w:hint="default"/>
          <w:sz w:val="28"/>
          <w:szCs w:val="28"/>
        </w:rPr>
        <w:t>1</w:t>
      </w:r>
      <w:r>
        <w:rPr>
          <w:rStyle w:val="17"/>
          <w:rFonts w:hint="eastAsia"/>
          <w:sz w:val="28"/>
          <w:szCs w:val="28"/>
        </w:rPr>
        <w:t>．改进措施</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3</w:t>
      </w:r>
    </w:p>
    <w:p>
      <w:pPr>
        <w:pStyle w:val="9"/>
        <w:tabs>
          <w:tab w:val="right" w:leader="dot" w:pos="8296"/>
        </w:tabs>
        <w:spacing w:beforeLines="0" w:afterLines="0"/>
        <w:rPr>
          <w:rFonts w:hint="eastAsia" w:ascii="Calibri" w:hAnsi="Calibri" w:eastAsia="宋体"/>
          <w:sz w:val="28"/>
          <w:szCs w:val="28"/>
          <w:lang w:val="en-US" w:eastAsia="zh-CN"/>
        </w:rPr>
      </w:pPr>
      <w:r>
        <w:rPr>
          <w:rFonts w:hint="default"/>
          <w:sz w:val="28"/>
          <w:szCs w:val="28"/>
        </w:rPr>
        <w:fldChar w:fldCharType="begin"/>
      </w:r>
      <w:r>
        <w:rPr>
          <w:rFonts w:hint="default"/>
          <w:sz w:val="28"/>
          <w:szCs w:val="28"/>
        </w:rPr>
        <w:instrText xml:space="preserve"> HYPERLINK \l "_Toc99634699" </w:instrText>
      </w:r>
      <w:r>
        <w:rPr>
          <w:rFonts w:hint="default"/>
          <w:sz w:val="28"/>
          <w:szCs w:val="28"/>
        </w:rPr>
        <w:fldChar w:fldCharType="separate"/>
      </w:r>
      <w:r>
        <w:rPr>
          <w:rStyle w:val="17"/>
          <w:rFonts w:hint="default"/>
          <w:kern w:val="0"/>
          <w:sz w:val="28"/>
          <w:szCs w:val="28"/>
          <w:lang w:bidi="ar"/>
        </w:rPr>
        <w:t>2</w:t>
      </w:r>
      <w:r>
        <w:rPr>
          <w:rStyle w:val="17"/>
          <w:rFonts w:hint="eastAsia"/>
          <w:kern w:val="0"/>
          <w:sz w:val="28"/>
          <w:szCs w:val="28"/>
          <w:lang w:bidi="ar"/>
        </w:rPr>
        <w:t>．拟定发展目标</w:t>
      </w:r>
      <w:r>
        <w:rPr>
          <w:rFonts w:hint="default"/>
          <w:sz w:val="28"/>
          <w:szCs w:val="28"/>
        </w:rPr>
        <w:tab/>
      </w:r>
      <w:r>
        <w:rPr>
          <w:rFonts w:hint="eastAsia"/>
          <w:sz w:val="28"/>
          <w:szCs w:val="28"/>
          <w:lang w:val="en-US" w:eastAsia="zh-CN"/>
        </w:rPr>
        <w:t>2</w:t>
      </w:r>
      <w:r>
        <w:rPr>
          <w:rFonts w:hint="default"/>
          <w:sz w:val="28"/>
          <w:szCs w:val="28"/>
        </w:rPr>
        <w:fldChar w:fldCharType="end"/>
      </w:r>
      <w:r>
        <w:rPr>
          <w:rFonts w:hint="eastAsia"/>
          <w:sz w:val="28"/>
          <w:szCs w:val="28"/>
          <w:lang w:val="en-US" w:eastAsia="zh-CN"/>
        </w:rPr>
        <w:t>4</w:t>
      </w:r>
    </w:p>
    <w:p>
      <w:r>
        <w:rPr>
          <w:rFonts w:hint="default" w:ascii="Calibri" w:hAnsi="Calibri"/>
          <w:sz w:val="28"/>
          <w:szCs w:val="28"/>
        </w:rPr>
        <w:fldChar w:fldCharType="end"/>
      </w:r>
    </w:p>
    <w:p/>
    <w:p>
      <w:pPr>
        <w:pStyle w:val="3"/>
        <w:rPr>
          <w:rStyle w:val="24"/>
          <w:rFonts w:ascii="Times New Roman" w:hAnsi="Times New Roman" w:cs="Times New Roman"/>
          <w:sz w:val="32"/>
          <w:szCs w:val="32"/>
        </w:rPr>
      </w:pPr>
      <w:bookmarkStart w:id="0" w:name="_Toc6592"/>
      <w:bookmarkStart w:id="1" w:name="_Toc99634671"/>
      <w:bookmarkStart w:id="2" w:name="_Toc17528"/>
      <w:bookmarkStart w:id="3" w:name="_Toc26784"/>
      <w:bookmarkStart w:id="4" w:name="_Toc8371"/>
      <w:r>
        <w:rPr>
          <w:rStyle w:val="28"/>
          <w:rFonts w:ascii="Times New Roman" w:hAnsi="Times New Roman" w:eastAsia="黑体" w:cs="Times New Roman"/>
          <w:sz w:val="30"/>
          <w:szCs w:val="30"/>
          <w:lang w:bidi="ar"/>
        </w:rPr>
        <w:t>一、总体</w:t>
      </w:r>
      <w:r>
        <w:rPr>
          <w:rStyle w:val="28"/>
          <w:rFonts w:ascii="Times New Roman" w:hAnsi="Times New Roman" w:eastAsia="黑体" w:cs="Times New Roman"/>
          <w:sz w:val="32"/>
          <w:szCs w:val="32"/>
          <w:lang w:bidi="ar"/>
        </w:rPr>
        <w:t>概况</w:t>
      </w:r>
      <w:bookmarkEnd w:id="0"/>
      <w:bookmarkEnd w:id="1"/>
      <w:bookmarkEnd w:id="2"/>
      <w:bookmarkEnd w:id="3"/>
      <w:bookmarkEnd w:id="4"/>
    </w:p>
    <w:p>
      <w:pPr>
        <w:ind w:firstLine="600" w:firstLineChars="200"/>
        <w:rPr>
          <w:rFonts w:ascii="Times New Roman" w:hAnsi="Times New Roman" w:cs="Times New Roman"/>
          <w:sz w:val="30"/>
          <w:szCs w:val="30"/>
        </w:rPr>
      </w:pPr>
      <w:r>
        <w:rPr>
          <w:rStyle w:val="28"/>
          <w:rFonts w:ascii="Times New Roman" w:hAnsi="Times New Roman" w:cs="Times New Roman"/>
          <w:sz w:val="30"/>
          <w:szCs w:val="30"/>
        </w:rPr>
        <w:t>学位授权点基本情况，学科建设情况，研究生招生、在读、毕业、学位授予及就业基本状况，研究生导师状况（总体规模、队伍结构）等。</w:t>
      </w:r>
    </w:p>
    <w:p>
      <w:pPr>
        <w:pStyle w:val="4"/>
        <w:rPr>
          <w:rFonts w:ascii="Times New Roman" w:hAnsi="Times New Roman" w:eastAsia="宋体" w:cs="Times New Roman"/>
          <w:b w:val="0"/>
          <w:bCs w:val="0"/>
          <w:sz w:val="28"/>
          <w:szCs w:val="28"/>
          <w:lang w:bidi="ar"/>
        </w:rPr>
      </w:pPr>
      <w:bookmarkStart w:id="5" w:name="_Toc99634672"/>
      <w:bookmarkStart w:id="6" w:name="_Toc12085"/>
      <w:bookmarkStart w:id="7" w:name="_Toc3789"/>
      <w:bookmarkStart w:id="8" w:name="_Toc32715"/>
      <w:bookmarkStart w:id="9" w:name="_Toc99551407"/>
      <w:bookmarkStart w:id="10" w:name="_Toc20909"/>
      <w:r>
        <w:rPr>
          <w:rFonts w:ascii="Times New Roman" w:hAnsi="Times New Roman" w:eastAsia="宋体" w:cs="Times New Roman"/>
          <w:sz w:val="28"/>
          <w:szCs w:val="28"/>
          <w:lang w:bidi="ar"/>
        </w:rPr>
        <w:t>1．学位授权点基本情况</w:t>
      </w:r>
      <w:bookmarkEnd w:id="5"/>
      <w:bookmarkEnd w:id="6"/>
      <w:bookmarkEnd w:id="7"/>
      <w:bookmarkEnd w:id="8"/>
      <w:bookmarkEnd w:id="9"/>
      <w:bookmarkEnd w:id="10"/>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养殖学于2006年获得硕士学位授予权，并于当年招生。水产养殖学是南昌大学最早的学科之一，南昌大学生命学科中的优势特色学科，江西省高校特色学科，国家首批卓越农林人才培养计划，江西省目前唯一的水产学科类省级重点实验室“江西省水生动物资源与利用重点实验室”。创办至今已有</w:t>
      </w:r>
      <w:r>
        <w:rPr>
          <w:rFonts w:hint="eastAsia" w:ascii="Times New Roman" w:hAnsi="Times New Roman" w:eastAsia="宋体" w:cs="Times New Roman"/>
          <w:sz w:val="28"/>
          <w:szCs w:val="28"/>
          <w:lang w:val="en-US" w:eastAsia="zh-CN"/>
        </w:rPr>
        <w:t>60</w:t>
      </w:r>
      <w:r>
        <w:rPr>
          <w:rFonts w:ascii="Times New Roman" w:hAnsi="Times New Roman" w:eastAsia="宋体" w:cs="Times New Roman"/>
          <w:sz w:val="28"/>
          <w:szCs w:val="28"/>
        </w:rPr>
        <w:t>余年，在学校三代人的努力下已形成较为独特的学科优势，特色和优势学科方向主要有三个：1、水产动物遗传育种；2、水产动物免疫与疾病防控；3、水产动物绿色生态养殖。学科特色突出，区位优势明显，综合实力在江西省处于领先地位，在国内外具有一定的影响力和学科优势，在全国近百所高校水产学科中排名大约13-14名，为全国特别</w:t>
      </w:r>
      <w:r>
        <w:rPr>
          <w:rFonts w:hint="eastAsia" w:ascii="Times New Roman" w:hAnsi="Times New Roman" w:eastAsia="宋体" w:cs="Times New Roman"/>
          <w:sz w:val="28"/>
          <w:szCs w:val="28"/>
          <w:lang w:eastAsia="zh-CN"/>
        </w:rPr>
        <w:t>是</w:t>
      </w:r>
      <w:r>
        <w:rPr>
          <w:rFonts w:ascii="Times New Roman" w:hAnsi="Times New Roman" w:eastAsia="宋体" w:cs="Times New Roman"/>
          <w:sz w:val="28"/>
          <w:szCs w:val="28"/>
        </w:rPr>
        <w:t>江西</w:t>
      </w:r>
      <w:r>
        <w:rPr>
          <w:rFonts w:hint="eastAsia" w:ascii="Times New Roman" w:hAnsi="Times New Roman" w:eastAsia="宋体" w:cs="Times New Roman"/>
          <w:sz w:val="28"/>
          <w:szCs w:val="28"/>
          <w:lang w:eastAsia="zh-CN"/>
        </w:rPr>
        <w:t>水产</w:t>
      </w:r>
      <w:r>
        <w:rPr>
          <w:rFonts w:ascii="Times New Roman" w:hAnsi="Times New Roman" w:eastAsia="宋体" w:cs="Times New Roman"/>
          <w:sz w:val="28"/>
          <w:szCs w:val="28"/>
        </w:rPr>
        <w:t>相关行</w:t>
      </w:r>
      <w:r>
        <w:rPr>
          <w:rFonts w:hint="eastAsia" w:ascii="Times New Roman" w:hAnsi="Times New Roman" w:eastAsia="宋体" w:cs="Times New Roman"/>
          <w:sz w:val="28"/>
          <w:szCs w:val="28"/>
          <w:lang w:eastAsia="zh-CN"/>
        </w:rPr>
        <w:t>业</w:t>
      </w:r>
      <w:r>
        <w:rPr>
          <w:rFonts w:ascii="Times New Roman" w:hAnsi="Times New Roman" w:eastAsia="宋体" w:cs="Times New Roman"/>
          <w:sz w:val="28"/>
          <w:szCs w:val="28"/>
        </w:rPr>
        <w:t>输送了大批优秀人才，为水产业发展做出了重要贡献。</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120" w:after="120" w:line="240" w:lineRule="auto"/>
        <w:textAlignment w:val="auto"/>
        <w:outlineLvl w:val="1"/>
        <w:rPr>
          <w:rFonts w:ascii="Times New Roman" w:hAnsi="Times New Roman" w:eastAsia="宋体" w:cs="Times New Roman"/>
          <w:b/>
          <w:bCs/>
          <w:kern w:val="2"/>
          <w:sz w:val="28"/>
          <w:szCs w:val="28"/>
          <w:lang w:val="en-US" w:eastAsia="zh-CN" w:bidi="ar"/>
        </w:rPr>
      </w:pPr>
      <w:bookmarkStart w:id="11" w:name="_Toc2728"/>
      <w:bookmarkStart w:id="12" w:name="_Toc6459"/>
      <w:bookmarkStart w:id="13" w:name="_Toc14371"/>
      <w:bookmarkStart w:id="14" w:name="_Toc26249"/>
      <w:bookmarkStart w:id="15" w:name="_Toc99551408"/>
      <w:bookmarkStart w:id="16" w:name="_Toc99634673"/>
      <w:r>
        <w:rPr>
          <w:rFonts w:ascii="Times New Roman" w:hAnsi="Times New Roman" w:eastAsia="宋体" w:cs="Times New Roman"/>
          <w:b/>
          <w:bCs/>
          <w:kern w:val="2"/>
          <w:sz w:val="28"/>
          <w:szCs w:val="28"/>
          <w:lang w:val="en-US" w:eastAsia="zh-CN" w:bidi="ar"/>
        </w:rPr>
        <w:t>学科建设情况</w:t>
      </w:r>
      <w:bookmarkEnd w:id="11"/>
      <w:bookmarkEnd w:id="12"/>
      <w:bookmarkEnd w:id="13"/>
      <w:bookmarkEnd w:id="14"/>
      <w:bookmarkEnd w:id="15"/>
      <w:bookmarkEnd w:id="16"/>
    </w:p>
    <w:p>
      <w:pPr>
        <w:pStyle w:val="10"/>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firstLine="560" w:firstLineChars="200"/>
        <w:textAlignment w:val="auto"/>
        <w:outlineLvl w:val="1"/>
        <w:rPr>
          <w:rFonts w:ascii="Times New Roman" w:hAnsi="Times New Roman" w:eastAsia="宋体" w:cs="Times New Roman"/>
          <w:sz w:val="28"/>
          <w:szCs w:val="28"/>
        </w:rPr>
      </w:pPr>
      <w:bookmarkStart w:id="17" w:name="_Toc5614"/>
      <w:bookmarkStart w:id="18" w:name="_Toc9426"/>
      <w:bookmarkStart w:id="19" w:name="_Toc6566"/>
      <w:bookmarkStart w:id="20" w:name="_Toc8257"/>
      <w:r>
        <w:rPr>
          <w:rFonts w:ascii="Times New Roman" w:hAnsi="Times New Roman" w:eastAsia="宋体" w:cs="Times New Roman"/>
          <w:sz w:val="28"/>
          <w:szCs w:val="28"/>
        </w:rPr>
        <w:t>水产养殖学是南昌大学生命学科的特色学科，具有长达60余年的历史。具有水产养殖学二级硕士点。本硕士点围绕水生生物资源学、水生动物遗传育种、水生动物病害生物学与防治、水生动物营养与生理、水生动物养殖与生态学等方面进行学位点建设。</w:t>
      </w:r>
      <w:bookmarkEnd w:id="17"/>
      <w:bookmarkEnd w:id="18"/>
      <w:bookmarkEnd w:id="19"/>
      <w:bookmarkEnd w:id="20"/>
    </w:p>
    <w:p>
      <w:pPr>
        <w:pStyle w:val="2"/>
        <w:keepNext w:val="0"/>
        <w:keepLines w:val="0"/>
        <w:pageBreakBefore w:val="0"/>
        <w:widowControl w:val="0"/>
        <w:kinsoku/>
        <w:wordWrap/>
        <w:overflowPunct/>
        <w:topLinePunct w:val="0"/>
        <w:autoSpaceDE/>
        <w:autoSpaceDN/>
        <w:bidi w:val="0"/>
        <w:adjustRightInd/>
        <w:snapToGrid/>
        <w:spacing w:before="120" w:after="120" w:line="600" w:lineRule="exact"/>
        <w:ind w:firstLine="560"/>
        <w:textAlignment w:val="auto"/>
        <w:rPr>
          <w:rFonts w:ascii="Times New Roman" w:hAnsi="Times New Roman" w:eastAsia="宋体" w:cs="Times New Roman"/>
          <w:sz w:val="28"/>
          <w:szCs w:val="28"/>
        </w:rPr>
      </w:pPr>
      <w:r>
        <w:rPr>
          <w:rFonts w:ascii="Times New Roman" w:hAnsi="Times New Roman" w:eastAsia="宋体" w:cs="Times New Roman"/>
          <w:sz w:val="28"/>
          <w:szCs w:val="28"/>
        </w:rPr>
        <w:t>（1）注重人才培养质量，为地方水产业发展提供智力支撑</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本学位点一直注重研究生培养质量，在校期间，参与导师的各项科研工作，特别是在为企业提供技术服务和制定发展规划等方面积累了丰富经验。在稻渔综合种养技术攻关、养殖池塘水质监测、养殖尾水处理、全国首个稻渔综合种养院士工作站-鱼米农夫院士工作站和南丰县创建龟甲生态特色小镇建设过程中都有研究生的参与，为毕业后从事相关工作奠定了良好基础。毕业生就业分析发现，无论在政府机关、还是在水产企业，本学位点培养的学生都在重要岗位上发挥重要作用，为当地水产业的发展提供了强大的智力支撑。</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（2）开发鄱阳湖水生动物资源，为地方水产业发展提供优良品种</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鄱阳湖及其流域水生物动物资源丰富，为开展遗传育种学研究提供了等得天独厚的条件。本学位点从上世纪60年代开始到现在，针对鄱阳湖水生动物进行了系统研究，在进行遗传学研究的基础上，成功选育出了兴国红鲤鱼、婺源荷包红鲤鱼、万安玻璃红鲤鱼、萍乡红鲫等四个水产新品种，获得国家水产原良种审定委员会审定为新品种，为广大养殖户提供了多个水产养殖新品种。目前仍在进行淡水珍珠蚌、鄱阳湖泥鳅、鄱阳湖甲鱼、鄱阳湖青虾、红鳙鱼、小龙虾、螃蟹、鄱阳湖鳜鱼等十余品种的选育。通过遗传育种学研究，这些新的养殖品种获得了生长快、抗病性强等稳定的遗传特性，新品种不仅在全国得到大面积推广，已推广至全国28个省，它们还作还作为国内许多杂交新品种的优良亲本被大量单位引进，产生了明显了经济、社会和生态效益，研究成果5次获得国家农业部、省科技进步奖二等奖。</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（3）创新生态养殖技术，为地方水产业的发展提供技术支撑</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本学位点在水生生物免疫学、水生生态与养殖学方面取得了许多研究成果，学科直接服务于区域水产业。与全省11家水产养殖企业建立了合作基地和教学基地，其中有4家被江西省教育厅、江西省科技厅、江西省人保厅、江西省信工委等省直单位联合授予“研究生联合培养基地”称号，基地开创了高校与企业培养研究生进入实质性联合新模式，该模式不仅是培养研究生的一种形式，更是本学科直接服务企业、针对产业关键问题共同攻关、服务地方经济的创新模式，并取得了明显效益。目前，已通过该模式培养博士和硕士研究生20余人，解决企业技术难题20余个。比如为我省最大的泥鳅养殖企业解决了泥鳅繁殖技术、苗种成活率低下难题、生态养殖难题；分析了我省最大甲鱼养殖基地南丰县甲鱼种质混杂的原因，至今无绿色甲鱼产品的原因，为该县甲鱼种质提纯和健康养殖设计了解决问题的系统方案；针对我国草鱼病害问题，从免疫学角度研究了草鱼免疫相关因子的调控机制，研发了干扰素作为草鱼主要病害的广谱性预防制剂，为大宗水产健康养殖提供了新的思路，该成果获得了省科技进步二等奖。</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（4）举办产业技术论坛，提高地方水产产业水平</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本学位点先后在抚州市东乡区举办了“首届鄱阳湖泥鳅产业技术论坛”、在九江市彭泽县举办了“首届鄱阳湖虾蟹产业技术论坛”、在南昌市进贤县举办了“首届鄱阳湖蛙产业技术论坛”。这些产业技术论坛得到了与会从业人员的高度肯定，为提高当地水产产业发展提供了很好的交流平台。</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（5）对接国家科技特派员新体制，系统服务地方产业发展</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《江西省科学技术厅关于建立省级科技特派员人才库的通知》（赣科发农字[2013]8号），2015年中央一号文件在“强化农业科技创新驱动作用”中提出“充分发挥科技特派员队伍在科研成果转化中的作用。”，2015年 江西省科技厅发《关于印发&lt;江西省科技特派团富民强县工程实施方案&gt;的通知》。为更好服务地方经济，本学科派出1</w:t>
      </w:r>
      <w:r>
        <w:rPr>
          <w:rFonts w:hint="eastAsia" w:ascii="Times New Roman" w:hAnsi="Times New Roman" w:eastAsia="宋体" w:cs="Times New Roman"/>
          <w:sz w:val="28"/>
          <w:szCs w:val="28"/>
          <w:lang w:val="en-US" w:eastAsia="zh-CN"/>
        </w:rPr>
        <w:t>6</w:t>
      </w:r>
      <w:r>
        <w:rPr>
          <w:rFonts w:ascii="Times New Roman" w:hAnsi="Times New Roman" w:eastAsia="宋体" w:cs="Times New Roman"/>
          <w:sz w:val="28"/>
          <w:szCs w:val="28"/>
        </w:rPr>
        <w:t>名优秀教师进入省科技特派员队伍，在江西1</w:t>
      </w:r>
      <w:r>
        <w:rPr>
          <w:rFonts w:hint="eastAsia" w:ascii="Times New Roman" w:hAnsi="Times New Roman" w:eastAsia="宋体" w:cs="Times New Roman"/>
          <w:sz w:val="28"/>
          <w:szCs w:val="28"/>
          <w:lang w:val="en-US" w:eastAsia="zh-CN"/>
        </w:rPr>
        <w:t>5</w:t>
      </w:r>
      <w:r>
        <w:rPr>
          <w:rFonts w:ascii="Times New Roman" w:hAnsi="Times New Roman" w:eastAsia="宋体" w:cs="Times New Roman"/>
          <w:sz w:val="28"/>
          <w:szCs w:val="28"/>
        </w:rPr>
        <w:t>个县市域开展科技对接服务，对接企业3</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个，已对接项目18个，专题开展技术服务</w:t>
      </w:r>
      <w:r>
        <w:rPr>
          <w:rFonts w:hint="eastAsia" w:ascii="Times New Roman" w:hAnsi="Times New Roman" w:eastAsia="宋体" w:cs="Times New Roman"/>
          <w:sz w:val="28"/>
          <w:szCs w:val="28"/>
          <w:lang w:val="en-US" w:eastAsia="zh-CN"/>
        </w:rPr>
        <w:t>25</w:t>
      </w:r>
      <w:r>
        <w:rPr>
          <w:rFonts w:ascii="Times New Roman" w:hAnsi="Times New Roman" w:eastAsia="宋体" w:cs="Times New Roman"/>
          <w:sz w:val="28"/>
          <w:szCs w:val="28"/>
        </w:rPr>
        <w:t>个，近5年来开展技术培训30</w:t>
      </w:r>
      <w:r>
        <w:rPr>
          <w:rFonts w:hint="eastAsia" w:ascii="Times New Roman" w:hAnsi="Times New Roman" w:eastAsia="宋体" w:cs="Times New Roman"/>
          <w:sz w:val="28"/>
          <w:szCs w:val="28"/>
          <w:lang w:eastAsia="zh-CN"/>
        </w:rPr>
        <w:t>余</w:t>
      </w:r>
      <w:r>
        <w:rPr>
          <w:rFonts w:ascii="Times New Roman" w:hAnsi="Times New Roman" w:eastAsia="宋体" w:cs="Times New Roman"/>
          <w:sz w:val="28"/>
          <w:szCs w:val="28"/>
        </w:rPr>
        <w:t>场次，培训技术人员、养殖户和产业管理部门人员超过2000人次；为井冈山市编制了国家级特色水产品种如“井冈山大鲵自然保护区”，参与健康养殖技术研究，使该品种在井冈山地区得以很好保护，同时使该品种成为革命老区井冈山人民脱贫的又一方案，取得了非常好的社会和经济效益。</w:t>
      </w:r>
    </w:p>
    <w:p>
      <w:pPr>
        <w:pStyle w:val="4"/>
        <w:rPr>
          <w:rStyle w:val="28"/>
          <w:rFonts w:ascii="Times New Roman" w:hAnsi="Times New Roman" w:eastAsia="宋体" w:cs="Times New Roman"/>
          <w:sz w:val="28"/>
          <w:szCs w:val="28"/>
        </w:rPr>
      </w:pPr>
      <w:bookmarkStart w:id="21" w:name="_Toc15677"/>
      <w:bookmarkStart w:id="22" w:name="_Toc24478"/>
      <w:bookmarkStart w:id="23" w:name="_Toc1805"/>
      <w:bookmarkStart w:id="24" w:name="_Toc29810"/>
      <w:bookmarkStart w:id="25" w:name="_Toc99634674"/>
      <w:r>
        <w:rPr>
          <w:rStyle w:val="28"/>
          <w:rFonts w:ascii="Times New Roman" w:hAnsi="Times New Roman" w:eastAsia="宋体" w:cs="Times New Roman"/>
          <w:sz w:val="28"/>
          <w:szCs w:val="28"/>
        </w:rPr>
        <w:t>3</w:t>
      </w:r>
      <w:r>
        <w:rPr>
          <w:rFonts w:ascii="Times New Roman" w:hAnsi="Times New Roman" w:eastAsia="宋体" w:cs="Times New Roman"/>
          <w:sz w:val="28"/>
          <w:szCs w:val="28"/>
          <w:lang w:bidi="ar"/>
        </w:rPr>
        <w:t>．</w:t>
      </w:r>
      <w:r>
        <w:rPr>
          <w:rStyle w:val="28"/>
          <w:rFonts w:ascii="Times New Roman" w:hAnsi="Times New Roman" w:eastAsia="宋体" w:cs="Times New Roman"/>
          <w:sz w:val="28"/>
          <w:szCs w:val="28"/>
        </w:rPr>
        <w:t>研究生招生、在读、毕业、学位授予及就业状况</w:t>
      </w:r>
      <w:bookmarkEnd w:id="21"/>
      <w:bookmarkEnd w:id="22"/>
      <w:bookmarkEnd w:id="23"/>
      <w:bookmarkEnd w:id="24"/>
      <w:bookmarkEnd w:id="25"/>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根据20</w:t>
      </w:r>
      <w:r>
        <w:rPr>
          <w:rFonts w:hint="eastAsia" w:ascii="Times New Roman" w:hAnsi="Times New Roman" w:eastAsia="宋体" w:cs="Times New Roman"/>
          <w:sz w:val="28"/>
          <w:szCs w:val="28"/>
          <w:lang w:val="en-US" w:eastAsia="zh-CN"/>
        </w:rPr>
        <w:t>20</w:t>
      </w:r>
      <w:r>
        <w:rPr>
          <w:rFonts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年统计数据发现，本学位点每年报考人数稳定在10-12人，实际录取人数呈逐年增加趋势，调剂生选择本专业的人数呈增加趋势，202</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年一志愿满额，没有开通调剂系统。这种情况在2020年研究生报考数量和录取人数方面显得更加明显，第一志愿报考水产养殖专业的人数增至15人，实际录取11人，而有调剂意愿的学生达到22人，说明本学位点经过几年的发展和宣传，学生对南昌大学水产养殖硕士点有了更加深刻的了解，报考的意愿更加强烈。</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保证生源质量的主要措施：1）增强意识，提高服务质量。招生相关人员必须耐心、热情解答考生咨询，并跟踪服务，让考生感受到重视和学院教师素质。增加他们选择报考的决心和信心。2）积极做好本校生源工作。导师利用上课、报告、会议等机会宣传学院科研工作，吸引学生从低年级开始进入实验室，培养科研兴趣，尽可能留着学生在本校读研。3）加强宣传，根据往年生源统计和导师反馈，对来本校读研比例较高且生源质量较好的高校重点宣传，进一步加大学院的影响力。4）积极做好推免工作，每年举办夏令营活动，对夏令营营员报考本院的学生给予奖学金等一定程度的政策奖励，吸引有意考研的学生了解选择生命学院。特别是本院的推免生，院领导、导师、辅导员等都会和他们谈心交流，努力争取他们选择本校读研。</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近三年招收水产养殖学（含水生生物学方向）硕士研究生2</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人，在读24人，毕业21人，授予农学学位21人。就业基本情况：</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（1）就业率保持高水平，就业前景好</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毕业生就业与职业发展是展示学位点人才培养质量的窗口，学位点把做好就业创业工作作为惠及学生的最大民心工程，作为校院党政“一把手”工程。学院就业创业措施多样化，加强顶层设计，实施多项举措，强化服务能力，为毕业生就业创业工作提供稳固的保障措施。</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本学位点专业流向与专业相关度高，本专业硕士研究生有</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人读博，1</w:t>
      </w:r>
      <w:r>
        <w:rPr>
          <w:rFonts w:hint="eastAsia" w:ascii="Times New Roman" w:hAnsi="Times New Roman" w:eastAsia="宋体" w:cs="Times New Roman"/>
          <w:sz w:val="28"/>
          <w:szCs w:val="28"/>
          <w:lang w:val="en-US" w:eastAsia="zh-CN"/>
        </w:rPr>
        <w:t>9</w:t>
      </w:r>
      <w:r>
        <w:rPr>
          <w:rFonts w:ascii="Times New Roman" w:hAnsi="Times New Roman" w:eastAsia="宋体" w:cs="Times New Roman"/>
          <w:sz w:val="28"/>
          <w:szCs w:val="28"/>
        </w:rPr>
        <w:t>人去企业事业单位，专业对口率达到85%。硕士毕业生签约就业比例率为100%，其中前三位签约就业的单位流向，比例从高到低依次为国有企业（3</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5</w:t>
      </w:r>
      <w:r>
        <w:rPr>
          <w:rFonts w:ascii="Times New Roman" w:hAnsi="Times New Roman" w:eastAsia="宋体" w:cs="Times New Roman"/>
          <w:sz w:val="28"/>
          <w:szCs w:val="28"/>
        </w:rPr>
        <w:t>%）、三资企业（</w:t>
      </w:r>
      <w:r>
        <w:rPr>
          <w:rFonts w:hint="eastAsia" w:ascii="Times New Roman" w:hAnsi="Times New Roman" w:eastAsia="宋体" w:cs="Times New Roman"/>
          <w:sz w:val="28"/>
          <w:szCs w:val="28"/>
          <w:lang w:val="en-US" w:eastAsia="zh-CN"/>
        </w:rPr>
        <w:t>19</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%）和党政机关（2</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.4%）。毕业生签约单位地域分布前三位，比例由高至低分别为江西省、东部地区和中部地区。</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（2）用人单位满意度和毕业生就业发展质量高</w:t>
      </w:r>
    </w:p>
    <w:p>
      <w:pPr>
        <w:pStyle w:val="2"/>
        <w:ind w:firstLine="560"/>
        <w:rPr>
          <w:rFonts w:ascii="Times New Roman" w:hAnsi="Times New Roman" w:cs="Times New Roman"/>
        </w:rPr>
      </w:pPr>
      <w:r>
        <w:rPr>
          <w:rFonts w:ascii="Times New Roman" w:hAnsi="Times New Roman" w:eastAsia="宋体" w:cs="Times New Roman"/>
          <w:sz w:val="28"/>
          <w:szCs w:val="28"/>
        </w:rPr>
        <w:t>学院通过外出推荐和招聘会接洽等途径，组织开展了“用人单位校园招聘调查问卷”和“毕业生回访调查”等问卷调查活动。调查结果显示，用人单位对学校毕业生及就业服务工作评价较高。根据 201</w:t>
      </w:r>
      <w:r>
        <w:rPr>
          <w:rFonts w:hint="eastAsia" w:ascii="Times New Roman" w:hAnsi="Times New Roman" w:eastAsia="宋体" w:cs="Times New Roman"/>
          <w:sz w:val="28"/>
          <w:szCs w:val="28"/>
          <w:lang w:val="en-US" w:eastAsia="zh-CN"/>
        </w:rPr>
        <w:t>9</w:t>
      </w:r>
      <w:r>
        <w:rPr>
          <w:rFonts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 xml:space="preserve"> 年调查数据，用人单位认为本学位点毕业生综合素质总体较高的达 96.73%，校园招聘服务及就业工作好，满意度分别达 97.46%和 98.99%”。毕业生就业质量较高，学生职业发展与学位点人才培养目标吻合度高，符合学位点办学定位。为中、高等教育单位、科研设计单位及相关行业输送了高质量的人才和行业精英。</w:t>
      </w:r>
    </w:p>
    <w:p>
      <w:pPr>
        <w:pStyle w:val="4"/>
        <w:rPr>
          <w:rStyle w:val="28"/>
          <w:rFonts w:ascii="Times New Roman" w:hAnsi="Times New Roman" w:eastAsia="宋体" w:cs="Times New Roman"/>
          <w:b w:val="0"/>
          <w:bCs w:val="0"/>
          <w:sz w:val="28"/>
          <w:szCs w:val="28"/>
        </w:rPr>
      </w:pPr>
      <w:bookmarkStart w:id="26" w:name="_Toc24662"/>
      <w:bookmarkStart w:id="27" w:name="_Toc18768"/>
      <w:bookmarkStart w:id="28" w:name="_Toc15325"/>
      <w:bookmarkStart w:id="29" w:name="_Toc17871"/>
      <w:bookmarkStart w:id="30" w:name="_Toc99634675"/>
      <w:r>
        <w:rPr>
          <w:rStyle w:val="28"/>
          <w:rFonts w:ascii="Times New Roman" w:hAnsi="Times New Roman" w:eastAsia="宋体" w:cs="Times New Roman"/>
          <w:sz w:val="28"/>
          <w:szCs w:val="28"/>
        </w:rPr>
        <w:t>4</w:t>
      </w:r>
      <w:r>
        <w:rPr>
          <w:rFonts w:ascii="Times New Roman" w:hAnsi="Times New Roman" w:eastAsia="宋体" w:cs="Times New Roman"/>
          <w:sz w:val="28"/>
          <w:szCs w:val="28"/>
          <w:lang w:bidi="ar"/>
        </w:rPr>
        <w:t>．</w:t>
      </w:r>
      <w:r>
        <w:rPr>
          <w:rStyle w:val="28"/>
          <w:rFonts w:ascii="Times New Roman" w:hAnsi="Times New Roman" w:eastAsia="宋体" w:cs="Times New Roman"/>
          <w:sz w:val="28"/>
          <w:szCs w:val="28"/>
        </w:rPr>
        <w:t>研究生导师状况（总体规模、队伍结构）</w:t>
      </w:r>
      <w:bookmarkEnd w:id="26"/>
      <w:bookmarkEnd w:id="27"/>
      <w:bookmarkEnd w:id="28"/>
      <w:bookmarkEnd w:id="29"/>
      <w:bookmarkEnd w:id="30"/>
    </w:p>
    <w:p>
      <w:pPr>
        <w:pStyle w:val="2"/>
        <w:ind w:firstLine="562"/>
        <w:rPr>
          <w:rFonts w:ascii="Times New Roman" w:hAnsi="Times New Roman" w:eastAsia="宋体" w:cs="Times New Roman"/>
          <w:sz w:val="28"/>
          <w:szCs w:val="28"/>
        </w:rPr>
      </w:pPr>
      <w:r>
        <w:rPr>
          <w:rFonts w:ascii="Times New Roman" w:hAnsi="Times New Roman" w:eastAsia="宋体" w:cs="Times New Roman"/>
          <w:b/>
          <w:bCs/>
          <w:color w:val="auto"/>
          <w:sz w:val="28"/>
          <w:szCs w:val="28"/>
        </w:rPr>
        <w:t xml:space="preserve"> </w:t>
      </w:r>
      <w:r>
        <w:rPr>
          <w:rFonts w:ascii="Times New Roman" w:hAnsi="Times New Roman" w:eastAsia="宋体" w:cs="Times New Roman"/>
          <w:sz w:val="28"/>
          <w:szCs w:val="28"/>
        </w:rPr>
        <w:t>水产养殖学于2006年获得硕士学位授予权，并于当年招生。现有教授</w:t>
      </w:r>
      <w:r>
        <w:rPr>
          <w:rFonts w:hint="eastAsia" w:ascii="Times New Roman" w:hAnsi="Times New Roman" w:eastAsia="宋体" w:cs="Times New Roman"/>
          <w:sz w:val="28"/>
          <w:szCs w:val="28"/>
          <w:lang w:val="en-US" w:eastAsia="zh-CN"/>
        </w:rPr>
        <w:t>6</w:t>
      </w:r>
      <w:r>
        <w:rPr>
          <w:rFonts w:ascii="Times New Roman" w:hAnsi="Times New Roman" w:eastAsia="宋体" w:cs="Times New Roman"/>
          <w:sz w:val="28"/>
          <w:szCs w:val="28"/>
        </w:rPr>
        <w:t>名，副教授7名，博士生导师</w:t>
      </w:r>
      <w:r>
        <w:rPr>
          <w:rFonts w:hint="eastAsia" w:ascii="Times New Roman" w:hAnsi="Times New Roman" w:eastAsia="宋体" w:cs="Times New Roman"/>
          <w:sz w:val="28"/>
          <w:szCs w:val="28"/>
          <w:lang w:val="en-US" w:eastAsia="zh-CN"/>
        </w:rPr>
        <w:t>4</w:t>
      </w:r>
      <w:r>
        <w:rPr>
          <w:rFonts w:ascii="Times New Roman" w:hAnsi="Times New Roman" w:eastAsia="宋体" w:cs="Times New Roman"/>
          <w:sz w:val="28"/>
          <w:szCs w:val="28"/>
        </w:rPr>
        <w:t>名，硕士生导师</w:t>
      </w:r>
      <w:r>
        <w:rPr>
          <w:rFonts w:hint="eastAsia" w:ascii="Times New Roman" w:hAnsi="Times New Roman" w:eastAsia="宋体" w:cs="Times New Roman"/>
          <w:sz w:val="28"/>
          <w:szCs w:val="28"/>
          <w:lang w:val="en-US" w:eastAsia="zh-CN"/>
        </w:rPr>
        <w:t>11</w:t>
      </w:r>
      <w:r>
        <w:rPr>
          <w:rFonts w:ascii="Times New Roman" w:hAnsi="Times New Roman" w:eastAsia="宋体" w:cs="Times New Roman"/>
          <w:sz w:val="28"/>
          <w:szCs w:val="28"/>
        </w:rPr>
        <w:t>人。</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水产动物遗传育种与创制方向共有教师5人，其中教授1人，副教授1人，讲师3人。本方向带头人洪一江，男，1963年生，博士，教授，博士生导师</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1984 年毕业于厦门大学生物系动物遗传学专业</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校2 级关键岗聘教授；兼任第四届全国水产标准化技术委员会委员，江西省水产原种和良种审定委员会副主任委员，江西省动物学会副理事长，江西省水产学会、江西省遗传学会常务理事，中国动物学会理事，江西省科学技术进步奖评审委员，国家贝类产业技术体系岗位专家，江西省特种水产产业技术体系首席专家。主要从事水生动物发育遗传学，细胞的结构与功能 ，水产动物遗传育种与增养殖学等的教学与研究工作。承担了多项国家、部省级科研重大项目，主持3 项国家自然科学基金项目；作为首席专家主持国家“引进国际先进技术农业项目“948”项目和国家农业部公益性行业科研专项1 项；主持国家发改委重大项目1 项；主持“973”项目子课题1 项，发表论文90 多篇，SCI 收录10 余篇。获得江西省科技进步二等奖1 项、三等奖2 项和农业部农牧渔业丰收奖二等奖1项等奖项。</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水产动物免疫与疾病防控方向共有教师5人，其中</w:t>
      </w:r>
      <w:r>
        <w:rPr>
          <w:rFonts w:hint="eastAsia" w:ascii="Times New Roman" w:hAnsi="Times New Roman" w:eastAsia="宋体" w:cs="Times New Roman"/>
          <w:sz w:val="28"/>
          <w:szCs w:val="28"/>
          <w:lang w:eastAsia="zh-CN"/>
        </w:rPr>
        <w:t>教授</w:t>
      </w:r>
      <w:r>
        <w:rPr>
          <w:rFonts w:hint="eastAsia" w:ascii="Times New Roman" w:hAnsi="Times New Roman" w:eastAsia="宋体" w:cs="Times New Roman"/>
          <w:sz w:val="28"/>
          <w:szCs w:val="28"/>
          <w:lang w:val="en-US" w:eastAsia="zh-CN"/>
        </w:rPr>
        <w:t>1人，</w:t>
      </w:r>
      <w:r>
        <w:rPr>
          <w:rFonts w:ascii="Times New Roman" w:hAnsi="Times New Roman" w:eastAsia="宋体" w:cs="Times New Roman"/>
          <w:sz w:val="28"/>
          <w:szCs w:val="28"/>
        </w:rPr>
        <w:t>副教授2人，讲师3人。本方向负责人胡宝庆，男，教授，1994年本科毕业于南昌大学生物系动物学专业，2006年硕士毕业于南昌大学生命科学学院动物学专业。主要从事贝类免疫及损伤修复机制研究。主持国家自然科学基金2项，省自然科学基金3项，省农业支撑计划1项，省教育厅项目1项，获江西省自然科学奖三等奖1次，发表论文30余篇，其中SCI收录</w:t>
      </w:r>
      <w:r>
        <w:rPr>
          <w:rFonts w:hint="eastAsia" w:ascii="Times New Roman" w:hAnsi="Times New Roman" w:eastAsia="宋体" w:cs="Times New Roman"/>
          <w:sz w:val="28"/>
          <w:szCs w:val="28"/>
          <w:lang w:val="en-US" w:eastAsia="zh-CN"/>
        </w:rPr>
        <w:t>8</w:t>
      </w:r>
      <w:r>
        <w:rPr>
          <w:rFonts w:ascii="Times New Roman" w:hAnsi="Times New Roman" w:eastAsia="宋体" w:cs="Times New Roman"/>
          <w:sz w:val="28"/>
          <w:szCs w:val="28"/>
        </w:rPr>
        <w:t>篇。</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水产动物绿色生态养殖方向共有教师6人，其中教授</w:t>
      </w:r>
      <w:r>
        <w:rPr>
          <w:rFonts w:hint="eastAsia" w:ascii="Times New Roman" w:hAnsi="Times New Roman" w:eastAsia="宋体" w:cs="Times New Roman"/>
          <w:sz w:val="28"/>
          <w:szCs w:val="28"/>
          <w:lang w:val="en-US" w:eastAsia="zh-CN"/>
        </w:rPr>
        <w:t>2</w:t>
      </w:r>
      <w:r>
        <w:rPr>
          <w:rFonts w:ascii="Times New Roman" w:hAnsi="Times New Roman" w:eastAsia="宋体" w:cs="Times New Roman"/>
          <w:sz w:val="28"/>
          <w:szCs w:val="28"/>
        </w:rPr>
        <w:t>人，副教授2人，讲师3人。本方向负责人赵大显，男，博士，教授，博士生导师，南昌大学水产科学系主任，南昌大学香樟俊才。先后主持科技部国家重点研发计划“蓝色粮仓科技创新”专项课题1项、国家自然科学基金地区项目</w:t>
      </w:r>
      <w:r>
        <w:rPr>
          <w:rFonts w:hint="eastAsia" w:ascii="Times New Roman" w:hAnsi="Times New Roman" w:eastAsia="宋体" w:cs="Times New Roman"/>
          <w:sz w:val="28"/>
          <w:szCs w:val="28"/>
          <w:lang w:val="en-US" w:eastAsia="zh-CN"/>
        </w:rPr>
        <w:t>3</w:t>
      </w:r>
      <w:r>
        <w:rPr>
          <w:rFonts w:ascii="Times New Roman" w:hAnsi="Times New Roman" w:eastAsia="宋体" w:cs="Times New Roman"/>
          <w:sz w:val="28"/>
          <w:szCs w:val="28"/>
        </w:rPr>
        <w:t>项、江西省科技厅重大项目等省部级项目6项；发表论文20余篇，被引用频次达200余次；授权发明和实用新型专利10余项，成果受到本领域广泛关注。</w:t>
      </w:r>
    </w:p>
    <w:p>
      <w:pPr>
        <w:pStyle w:val="3"/>
        <w:rPr>
          <w:rFonts w:ascii="Times New Roman" w:hAnsi="Times New Roman" w:cs="Times New Roman"/>
          <w:sz w:val="32"/>
          <w:szCs w:val="32"/>
        </w:rPr>
      </w:pPr>
      <w:bookmarkStart w:id="31" w:name="_Toc5035"/>
      <w:bookmarkStart w:id="32" w:name="_Toc5601"/>
      <w:bookmarkStart w:id="33" w:name="_Toc27790"/>
      <w:bookmarkStart w:id="34" w:name="_Toc24099"/>
      <w:bookmarkStart w:id="35" w:name="_Toc99551409"/>
      <w:bookmarkStart w:id="36" w:name="_Toc99634676"/>
      <w:r>
        <w:rPr>
          <w:rStyle w:val="28"/>
          <w:rFonts w:ascii="Times New Roman" w:hAnsi="Times New Roman" w:eastAsia="黑体" w:cs="Times New Roman"/>
          <w:sz w:val="30"/>
          <w:szCs w:val="30"/>
          <w:lang w:bidi="ar"/>
        </w:rPr>
        <w:t>二、研究生党建与思想政治教育工作</w:t>
      </w:r>
      <w:bookmarkEnd w:id="31"/>
      <w:bookmarkEnd w:id="32"/>
      <w:bookmarkEnd w:id="33"/>
      <w:bookmarkEnd w:id="34"/>
      <w:bookmarkEnd w:id="35"/>
      <w:bookmarkEnd w:id="36"/>
    </w:p>
    <w:p>
      <w:pPr>
        <w:pStyle w:val="2"/>
        <w:ind w:firstLine="560"/>
        <w:rPr>
          <w:rStyle w:val="28"/>
          <w:rFonts w:ascii="Times New Roman" w:hAnsi="Times New Roman" w:cs="Times New Roman"/>
          <w:sz w:val="28"/>
          <w:szCs w:val="28"/>
        </w:rPr>
      </w:pPr>
      <w:r>
        <w:rPr>
          <w:rStyle w:val="28"/>
          <w:rFonts w:ascii="Times New Roman" w:hAnsi="Times New Roman" w:cs="Times New Roman"/>
          <w:sz w:val="28"/>
          <w:szCs w:val="28"/>
        </w:rPr>
        <w:t>思想政治教育队伍建设，理想信念和社会主义核心价值观教育，学位点文化建设，日常管理服务工作等。</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养殖学学位点牢记为党育人、为国育才使命，紧紧围绕“立德树人”根本任务，秉承“笃学、求真、砺志、明德”院训，坚持党建引领，将江西红色教育资源融入课堂教学、科研项目、学术交流、实习实践等人才培养全过程；通过创新学院、导师、辅导员和学生四级联动，进一步完善“全员、全过程、全方位”三全育人机制，培养德才兼备的水产学高素质人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textAlignment w:val="auto"/>
        <w:outlineLvl w:val="1"/>
        <w:rPr>
          <w:rFonts w:ascii="Times New Roman" w:hAnsi="Times New Roman" w:eastAsia="宋体" w:cs="Times New Roman"/>
          <w:b/>
          <w:bCs/>
          <w:sz w:val="28"/>
          <w:szCs w:val="28"/>
          <w:lang w:bidi="ar"/>
        </w:rPr>
      </w:pPr>
      <w:bookmarkStart w:id="37" w:name="_Toc7649"/>
      <w:bookmarkStart w:id="38" w:name="_Toc20306"/>
      <w:bookmarkStart w:id="39" w:name="_Toc99551410"/>
      <w:bookmarkStart w:id="40" w:name="_Toc17185"/>
      <w:bookmarkStart w:id="41" w:name="_Toc99634677"/>
      <w:r>
        <w:rPr>
          <w:rFonts w:hint="eastAsia" w:ascii="Times New Roman" w:hAnsi="Times New Roman" w:eastAsia="宋体" w:cs="Times New Roman"/>
          <w:b/>
          <w:bCs/>
          <w:sz w:val="28"/>
          <w:szCs w:val="28"/>
          <w:lang w:val="en-US" w:eastAsia="zh-CN" w:bidi="ar"/>
        </w:rPr>
        <w:t>1.</w:t>
      </w:r>
      <w:r>
        <w:rPr>
          <w:rFonts w:ascii="Times New Roman" w:hAnsi="Times New Roman" w:eastAsia="宋体" w:cs="Times New Roman"/>
          <w:b/>
          <w:bCs/>
          <w:sz w:val="28"/>
          <w:szCs w:val="28"/>
          <w:lang w:bidi="ar"/>
        </w:rPr>
        <w:t>挖掘</w:t>
      </w:r>
      <w:r>
        <w:rPr>
          <w:rFonts w:hint="eastAsia" w:ascii="Times New Roman" w:hAnsi="Times New Roman" w:eastAsia="宋体" w:cs="Times New Roman"/>
          <w:b/>
          <w:bCs/>
          <w:sz w:val="28"/>
          <w:szCs w:val="28"/>
          <w:lang w:val="en-US" w:eastAsia="zh-CN" w:bidi="ar"/>
        </w:rPr>
        <w:t>水产养殖</w:t>
      </w:r>
      <w:r>
        <w:rPr>
          <w:rFonts w:ascii="Times New Roman" w:hAnsi="Times New Roman" w:eastAsia="宋体" w:cs="Times New Roman"/>
          <w:b/>
          <w:bCs/>
          <w:sz w:val="28"/>
          <w:szCs w:val="28"/>
          <w:lang w:bidi="ar"/>
        </w:rPr>
        <w:t>学课程思政元素，实现课程思政全覆盖</w:t>
      </w:r>
      <w:bookmarkEnd w:id="37"/>
      <w:bookmarkEnd w:id="38"/>
      <w:bookmarkEnd w:id="39"/>
      <w:bookmarkEnd w:id="40"/>
      <w:bookmarkEnd w:id="41"/>
    </w:p>
    <w:p>
      <w:pPr>
        <w:pStyle w:val="2"/>
        <w:numPr>
          <w:ilvl w:val="0"/>
          <w:numId w:val="0"/>
        </w:num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严格规范课堂教学管理，健全教学纪律约束机制，严把教材审核关，将思想政治教育与专业知识体系有机结合，发挥专业老师在教学过程中思想政治引领作用。在专业培养方案及教学大纲中明确“课程思政”内容和相应的教学改革计划书，所有课程实现了“课程思政”100%覆盖。</w:t>
      </w:r>
    </w:p>
    <w:p>
      <w:pPr>
        <w:pStyle w:val="4"/>
        <w:rPr>
          <w:rFonts w:ascii="Times New Roman" w:hAnsi="Times New Roman" w:eastAsia="宋体" w:cs="Times New Roman"/>
          <w:b w:val="0"/>
          <w:bCs w:val="0"/>
          <w:sz w:val="28"/>
          <w:szCs w:val="28"/>
        </w:rPr>
      </w:pPr>
      <w:bookmarkStart w:id="42" w:name="_Toc99551411"/>
      <w:bookmarkStart w:id="43" w:name="_Toc3900"/>
      <w:bookmarkStart w:id="44" w:name="_Toc99634678"/>
      <w:bookmarkStart w:id="45" w:name="_Toc31334"/>
      <w:bookmarkStart w:id="46" w:name="_Toc31001"/>
      <w:bookmarkStart w:id="47" w:name="_Toc28593"/>
      <w:r>
        <w:rPr>
          <w:rFonts w:ascii="Times New Roman" w:hAnsi="Times New Roman" w:eastAsia="宋体" w:cs="Times New Roman"/>
          <w:sz w:val="28"/>
          <w:szCs w:val="28"/>
          <w:lang w:bidi="ar"/>
        </w:rPr>
        <w:t>2．利用江西红</w:t>
      </w:r>
      <w:r>
        <w:rPr>
          <w:rFonts w:hint="eastAsia" w:ascii="Times New Roman" w:hAnsi="Times New Roman" w:eastAsia="宋体" w:cs="Times New Roman"/>
          <w:sz w:val="28"/>
          <w:szCs w:val="28"/>
          <w:lang w:bidi="ar"/>
        </w:rPr>
        <w:t>色</w:t>
      </w:r>
      <w:r>
        <w:rPr>
          <w:rFonts w:ascii="Times New Roman" w:hAnsi="Times New Roman" w:eastAsia="宋体" w:cs="Times New Roman"/>
          <w:sz w:val="28"/>
          <w:szCs w:val="28"/>
          <w:lang w:bidi="ar"/>
        </w:rPr>
        <w:t>教育资源，在服</w:t>
      </w:r>
      <w:r>
        <w:rPr>
          <w:rFonts w:ascii="Times New Roman" w:hAnsi="Times New Roman" w:eastAsia="宋体" w:cs="Times New Roman"/>
          <w:b w:val="0"/>
          <w:bCs w:val="0"/>
          <w:color w:val="000000"/>
          <w:kern w:val="2"/>
          <w:sz w:val="28"/>
          <w:szCs w:val="28"/>
          <w:lang w:val="en-US" w:eastAsia="zh-CN" w:bidi="ar-SA"/>
        </w:rPr>
        <w:t>务</w:t>
      </w:r>
      <w:r>
        <w:rPr>
          <w:rFonts w:hint="eastAsia" w:ascii="Times New Roman" w:hAnsi="Times New Roman" w:eastAsia="宋体" w:cs="Times New Roman"/>
          <w:b w:val="0"/>
          <w:bCs w:val="0"/>
          <w:color w:val="000000"/>
          <w:kern w:val="2"/>
          <w:sz w:val="28"/>
          <w:szCs w:val="28"/>
          <w:lang w:val="en-US" w:eastAsia="zh-CN" w:bidi="ar-SA"/>
        </w:rPr>
        <w:t>社会</w:t>
      </w:r>
      <w:r>
        <w:rPr>
          <w:rFonts w:ascii="Times New Roman" w:hAnsi="Times New Roman" w:eastAsia="宋体" w:cs="Times New Roman"/>
          <w:b w:val="0"/>
          <w:bCs w:val="0"/>
          <w:color w:val="000000"/>
          <w:kern w:val="2"/>
          <w:sz w:val="28"/>
          <w:szCs w:val="28"/>
          <w:lang w:val="en-US" w:eastAsia="zh-CN" w:bidi="ar-SA"/>
        </w:rPr>
        <w:t>实践</w:t>
      </w:r>
      <w:r>
        <w:rPr>
          <w:rFonts w:ascii="Times New Roman" w:hAnsi="Times New Roman" w:eastAsia="宋体" w:cs="Times New Roman"/>
          <w:sz w:val="28"/>
          <w:szCs w:val="28"/>
          <w:lang w:bidi="ar"/>
        </w:rPr>
        <w:t>中传承红色基因</w:t>
      </w:r>
      <w:bookmarkEnd w:id="42"/>
      <w:bookmarkEnd w:id="43"/>
      <w:bookmarkEnd w:id="44"/>
      <w:bookmarkEnd w:id="45"/>
      <w:bookmarkEnd w:id="46"/>
      <w:bookmarkEnd w:id="47"/>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井冈山、瑞金等不仅有良好的水产资源，也</w:t>
      </w:r>
      <w:r>
        <w:rPr>
          <w:rFonts w:hint="eastAsia" w:ascii="Times New Roman" w:hAnsi="Times New Roman" w:eastAsia="宋体" w:cs="Times New Roman"/>
          <w:sz w:val="28"/>
          <w:szCs w:val="28"/>
          <w:lang w:val="en-US" w:eastAsia="zh-CN"/>
        </w:rPr>
        <w:t>是红色革命老区</w:t>
      </w:r>
      <w:r>
        <w:rPr>
          <w:rFonts w:ascii="Times New Roman" w:hAnsi="Times New Roman" w:eastAsia="宋体" w:cs="Times New Roman"/>
          <w:sz w:val="28"/>
          <w:szCs w:val="28"/>
        </w:rPr>
        <w:t>，一直是本学位点的实习实践基地、学生田间地头</w:t>
      </w:r>
      <w:r>
        <w:rPr>
          <w:rFonts w:hint="eastAsia" w:ascii="Times New Roman" w:hAnsi="Times New Roman" w:eastAsia="宋体" w:cs="Times New Roman"/>
          <w:sz w:val="28"/>
          <w:szCs w:val="28"/>
          <w:lang w:val="en-US" w:eastAsia="zh-CN"/>
        </w:rPr>
        <w:t>实践</w:t>
      </w:r>
      <w:r>
        <w:rPr>
          <w:rFonts w:ascii="Times New Roman" w:hAnsi="Times New Roman" w:eastAsia="宋体" w:cs="Times New Roman"/>
          <w:sz w:val="28"/>
          <w:szCs w:val="28"/>
        </w:rPr>
        <w:t>课堂，也是研究生为红色革命老区进行科研服务、将论文写在祖国大地上红色教育基地。与井冈山毛泽东红军学校共建“留守儿童之家”，传承中华美德，锤炼学生品德；同时鼓励学生结合个人成长成才参与基地（层）创新创业、志愿服务、公益活动等。</w:t>
      </w:r>
    </w:p>
    <w:p>
      <w:pPr>
        <w:pStyle w:val="2"/>
        <w:keepNext w:val="0"/>
        <w:keepLines w:val="0"/>
        <w:pageBreakBefore w:val="0"/>
        <w:widowControl w:val="0"/>
        <w:kinsoku/>
        <w:wordWrap/>
        <w:overflowPunct/>
        <w:topLinePunct w:val="0"/>
        <w:autoSpaceDE/>
        <w:autoSpaceDN/>
        <w:bidi w:val="0"/>
        <w:adjustRightInd/>
        <w:snapToGrid/>
        <w:spacing w:before="120" w:after="120" w:line="240" w:lineRule="auto"/>
        <w:ind w:left="0" w:leftChars="0" w:firstLine="0" w:firstLineChars="0"/>
        <w:textAlignment w:val="auto"/>
        <w:outlineLvl w:val="1"/>
        <w:rPr>
          <w:rFonts w:ascii="Times New Roman" w:hAnsi="Times New Roman" w:eastAsia="宋体" w:cs="Times New Roman"/>
          <w:b/>
          <w:bCs/>
          <w:color w:val="auto"/>
          <w:kern w:val="2"/>
          <w:sz w:val="28"/>
          <w:szCs w:val="28"/>
          <w:lang w:val="en-US" w:eastAsia="zh-CN" w:bidi="ar"/>
        </w:rPr>
      </w:pPr>
      <w:bookmarkStart w:id="48" w:name="_Toc13243"/>
      <w:bookmarkStart w:id="49" w:name="_Toc4424"/>
      <w:bookmarkStart w:id="50" w:name="_Toc99634679"/>
      <w:bookmarkStart w:id="51" w:name="_Toc99551412"/>
      <w:bookmarkStart w:id="52" w:name="_Toc26572"/>
      <w:r>
        <w:rPr>
          <w:rFonts w:ascii="Times New Roman" w:hAnsi="Times New Roman" w:eastAsia="宋体" w:cs="Times New Roman"/>
          <w:b/>
          <w:bCs/>
          <w:color w:val="auto"/>
          <w:kern w:val="2"/>
          <w:sz w:val="28"/>
          <w:szCs w:val="28"/>
          <w:lang w:val="en-US" w:eastAsia="zh-CN" w:bidi="ar"/>
        </w:rPr>
        <w:t>3．</w:t>
      </w:r>
      <w:r>
        <w:rPr>
          <w:rFonts w:hint="eastAsia" w:ascii="Times New Roman" w:hAnsi="Times New Roman" w:eastAsia="宋体" w:cs="Times New Roman"/>
          <w:b/>
          <w:bCs/>
          <w:color w:val="auto"/>
          <w:kern w:val="2"/>
          <w:sz w:val="28"/>
          <w:szCs w:val="28"/>
          <w:lang w:val="en-US" w:eastAsia="zh-CN" w:bidi="ar"/>
        </w:rPr>
        <w:t>加强党史学习教育</w:t>
      </w:r>
      <w:r>
        <w:rPr>
          <w:rFonts w:ascii="Times New Roman" w:hAnsi="Times New Roman" w:eastAsia="宋体" w:cs="Times New Roman"/>
          <w:b/>
          <w:bCs/>
          <w:color w:val="auto"/>
          <w:kern w:val="2"/>
          <w:sz w:val="28"/>
          <w:szCs w:val="28"/>
          <w:lang w:val="en-US" w:eastAsia="zh-CN" w:bidi="ar"/>
        </w:rPr>
        <w:t>，筑牢意识形态防线</w:t>
      </w:r>
      <w:bookmarkEnd w:id="48"/>
      <w:bookmarkEnd w:id="49"/>
      <w:bookmarkEnd w:id="50"/>
      <w:bookmarkEnd w:id="51"/>
      <w:bookmarkEnd w:id="52"/>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加强宣传阵地管理，制定并严格执行信息发布“三审三校”制度，严密防范网络意识形态渗透；加强对各类报告会、研讨会、讲座、论坛以及学生社团活动的管理，建立完善课堂、讲坛等意识形态阵地管理办法；加强国际交流合作管理，建立出国交流学生的行前思政教育和沟通交流机制。弘扬</w:t>
      </w:r>
      <w:r>
        <w:rPr>
          <w:rFonts w:hint="eastAsia" w:ascii="Times New Roman" w:hAnsi="Times New Roman" w:eastAsia="宋体" w:cs="Times New Roman"/>
          <w:sz w:val="28"/>
          <w:szCs w:val="28"/>
          <w:lang w:val="en-US" w:eastAsia="zh-CN"/>
        </w:rPr>
        <w:t>中华优秀传统</w:t>
      </w:r>
      <w:r>
        <w:rPr>
          <w:rFonts w:ascii="Times New Roman" w:hAnsi="Times New Roman" w:eastAsia="宋体" w:cs="Times New Roman"/>
          <w:sz w:val="28"/>
          <w:szCs w:val="28"/>
        </w:rPr>
        <w:t>文化，</w:t>
      </w:r>
      <w:r>
        <w:rPr>
          <w:rFonts w:hint="eastAsia" w:ascii="Times New Roman" w:hAnsi="Times New Roman" w:eastAsia="宋体" w:cs="Times New Roman"/>
          <w:sz w:val="28"/>
          <w:szCs w:val="28"/>
          <w:lang w:val="en-US" w:eastAsia="zh-CN"/>
        </w:rPr>
        <w:t>引导学生</w:t>
      </w:r>
      <w:r>
        <w:rPr>
          <w:rFonts w:ascii="Times New Roman" w:hAnsi="Times New Roman" w:eastAsia="宋体" w:cs="Times New Roman"/>
          <w:sz w:val="28"/>
          <w:szCs w:val="28"/>
        </w:rPr>
        <w:t>树立正确的世界观、人生观和价值观。</w:t>
      </w:r>
    </w:p>
    <w:p>
      <w:pPr>
        <w:pStyle w:val="2"/>
        <w:ind w:firstLine="560"/>
        <w:rPr>
          <w:rFonts w:hint="eastAsia" w:ascii="Times New Roman" w:hAnsi="Times New Roman" w:eastAsia="宋体" w:cs="Times New Roman"/>
          <w:sz w:val="28"/>
          <w:szCs w:val="28"/>
          <w:lang w:eastAsia="zh-CN"/>
        </w:rPr>
      </w:pPr>
      <w:r>
        <w:rPr>
          <w:rFonts w:ascii="Times New Roman" w:hAnsi="Times New Roman" w:eastAsia="宋体" w:cs="Times New Roman"/>
          <w:sz w:val="28"/>
          <w:szCs w:val="28"/>
        </w:rPr>
        <w:t xml:space="preserve"> 党支部设在学位点，党小组建在团队，以党员的先锋模范作用，带动和推进学科研究工作的深入开展；成立思政专班，学院党委委员每人联系一个党支部，畅通交流渠道，促进支部建强；研究生新生党支部书记由辅导员兼任。将基层党建工作与思政教育、学科建设、管理服务融为一体。</w:t>
      </w:r>
      <w:r>
        <w:rPr>
          <w:rFonts w:hint="eastAsia" w:ascii="Times New Roman" w:hAnsi="Times New Roman" w:eastAsia="宋体" w:cs="Times New Roman"/>
          <w:sz w:val="28"/>
          <w:szCs w:val="28"/>
          <w:lang w:eastAsia="zh-CN"/>
        </w:rPr>
        <w:t>先后组织学习</w:t>
      </w:r>
      <w:r>
        <w:rPr>
          <w:rFonts w:hint="eastAsia" w:ascii="Times New Roman" w:hAnsi="Times New Roman" w:eastAsia="宋体" w:cs="Times New Roman"/>
          <w:sz w:val="28"/>
          <w:szCs w:val="28"/>
        </w:rPr>
        <w:t>学党史知识竞赛答题3次</w:t>
      </w:r>
      <w:r>
        <w:rPr>
          <w:rFonts w:hint="eastAsia" w:ascii="Times New Roman" w:hAnsi="Times New Roman" w:eastAsia="宋体" w:cs="Times New Roman"/>
          <w:sz w:val="28"/>
          <w:szCs w:val="28"/>
          <w:lang w:eastAsia="zh-CN"/>
        </w:rPr>
        <w:t>，包括</w:t>
      </w:r>
      <w:r>
        <w:rPr>
          <w:rFonts w:hint="eastAsia" w:ascii="Times New Roman" w:hAnsi="Times New Roman" w:eastAsia="宋体" w:cs="Times New Roman"/>
          <w:sz w:val="28"/>
          <w:szCs w:val="28"/>
        </w:rPr>
        <w:t>四史学习教育知识竞赛、“学党史知识，庆党建百年”知识竞赛、“学党史、强信念、跟党走”党史知识竞赛</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观影活动2次</w:t>
      </w:r>
      <w:r>
        <w:rPr>
          <w:rFonts w:hint="eastAsia" w:ascii="Times New Roman" w:hAnsi="Times New Roman" w:eastAsia="宋体" w:cs="Times New Roman"/>
          <w:sz w:val="28"/>
          <w:szCs w:val="28"/>
          <w:lang w:eastAsia="zh-CN"/>
        </w:rPr>
        <w:t>，包括观看《</w:t>
      </w:r>
      <w:r>
        <w:rPr>
          <w:rFonts w:hint="eastAsia" w:ascii="Times New Roman" w:hAnsi="Times New Roman" w:eastAsia="宋体" w:cs="Times New Roman"/>
          <w:sz w:val="28"/>
          <w:szCs w:val="28"/>
        </w:rPr>
        <w:t>带你归家</w:t>
      </w:r>
      <w:r>
        <w:rPr>
          <w:rFonts w:hint="eastAsia" w:ascii="Times New Roman" w:hAnsi="Times New Roman" w:eastAsia="宋体" w:cs="Times New Roman"/>
          <w:sz w:val="28"/>
          <w:szCs w:val="28"/>
          <w:lang w:eastAsia="zh-CN"/>
        </w:rPr>
        <w:t>》和《</w:t>
      </w:r>
      <w:r>
        <w:rPr>
          <w:rFonts w:hint="eastAsia" w:ascii="Times New Roman" w:hAnsi="Times New Roman" w:eastAsia="宋体" w:cs="Times New Roman"/>
          <w:sz w:val="28"/>
          <w:szCs w:val="28"/>
        </w:rPr>
        <w:t>跨过鸭绿江</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参观红色文化馆2次</w:t>
      </w:r>
      <w:r>
        <w:rPr>
          <w:rFonts w:hint="eastAsia" w:ascii="Times New Roman" w:hAnsi="Times New Roman" w:eastAsia="宋体" w:cs="Times New Roman"/>
          <w:sz w:val="28"/>
          <w:szCs w:val="28"/>
          <w:lang w:eastAsia="zh-CN"/>
        </w:rPr>
        <w:t>，包括参观</w:t>
      </w:r>
      <w:r>
        <w:rPr>
          <w:rFonts w:hint="eastAsia" w:ascii="Times New Roman" w:hAnsi="Times New Roman" w:eastAsia="宋体" w:cs="Times New Roman"/>
          <w:sz w:val="28"/>
          <w:szCs w:val="28"/>
        </w:rPr>
        <w:t>南昌大学校史馆</w:t>
      </w:r>
      <w:r>
        <w:rPr>
          <w:rFonts w:hint="eastAsia" w:ascii="Times New Roman" w:hAnsi="Times New Roman" w:eastAsia="宋体" w:cs="Times New Roman"/>
          <w:sz w:val="28"/>
          <w:szCs w:val="28"/>
          <w:lang w:eastAsia="zh-CN"/>
        </w:rPr>
        <w:t>和</w:t>
      </w:r>
      <w:r>
        <w:rPr>
          <w:rFonts w:hint="eastAsia" w:ascii="Times New Roman" w:hAnsi="Times New Roman" w:eastAsia="宋体" w:cs="Times New Roman"/>
          <w:sz w:val="28"/>
          <w:szCs w:val="28"/>
        </w:rPr>
        <w:t>江西省博物馆</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参加宣讲活动2次</w:t>
      </w:r>
      <w:r>
        <w:rPr>
          <w:rFonts w:hint="eastAsia" w:ascii="Times New Roman" w:hAnsi="Times New Roman" w:eastAsia="宋体" w:cs="Times New Roman"/>
          <w:sz w:val="28"/>
          <w:szCs w:val="28"/>
          <w:lang w:eastAsia="zh-CN"/>
        </w:rPr>
        <w:t>，包括参加</w:t>
      </w:r>
      <w:r>
        <w:rPr>
          <w:rFonts w:hint="eastAsia" w:ascii="Times New Roman" w:hAnsi="Times New Roman" w:eastAsia="宋体" w:cs="Times New Roman"/>
          <w:sz w:val="28"/>
          <w:szCs w:val="28"/>
        </w:rPr>
        <w:t>七一讲话宣讲会</w:t>
      </w:r>
      <w:r>
        <w:rPr>
          <w:rFonts w:hint="eastAsia" w:ascii="Times New Roman" w:hAnsi="Times New Roman" w:eastAsia="宋体" w:cs="Times New Roman"/>
          <w:sz w:val="28"/>
          <w:szCs w:val="28"/>
          <w:lang w:eastAsia="zh-CN"/>
        </w:rPr>
        <w:t>和</w:t>
      </w:r>
      <w:r>
        <w:rPr>
          <w:rFonts w:hint="eastAsia" w:ascii="Times New Roman" w:hAnsi="Times New Roman" w:eastAsia="宋体" w:cs="Times New Roman"/>
          <w:sz w:val="28"/>
          <w:szCs w:val="28"/>
        </w:rPr>
        <w:t>十九届六中全会精神巡回宣讲会</w:t>
      </w:r>
      <w:r>
        <w:rPr>
          <w:rFonts w:hint="eastAsia" w:ascii="Times New Roman" w:hAnsi="Times New Roman" w:eastAsia="宋体" w:cs="Times New Roman"/>
          <w:sz w:val="28"/>
          <w:szCs w:val="28"/>
          <w:lang w:eastAsia="zh-CN"/>
        </w:rPr>
        <w:t>。</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建立起以研究生导师和辅导员为主体、专兼结合的研究生思想政治教育工作队伍，选强配齐兼职班导、专职辅导员、班干部；加强学生“四自”教育。积极推动四级联动和师生共育，全面贯彻落实“立德树人”的工作理念。</w:t>
      </w:r>
    </w:p>
    <w:p>
      <w:pPr>
        <w:pStyle w:val="3"/>
        <w:rPr>
          <w:rFonts w:ascii="Times New Roman" w:hAnsi="Times New Roman" w:eastAsia="黑体" w:cs="Times New Roman"/>
          <w:sz w:val="32"/>
          <w:szCs w:val="32"/>
        </w:rPr>
      </w:pPr>
      <w:bookmarkStart w:id="53" w:name="_Toc99551413"/>
      <w:bookmarkStart w:id="54" w:name="_Toc3456"/>
      <w:bookmarkStart w:id="55" w:name="_Toc25178"/>
      <w:bookmarkStart w:id="56" w:name="_Toc15913"/>
      <w:bookmarkStart w:id="57" w:name="_Toc12642"/>
      <w:bookmarkStart w:id="58" w:name="_Toc99634680"/>
      <w:r>
        <w:rPr>
          <w:rStyle w:val="28"/>
          <w:rFonts w:ascii="Times New Roman" w:hAnsi="Times New Roman" w:eastAsia="黑体" w:cs="Times New Roman"/>
          <w:sz w:val="30"/>
          <w:szCs w:val="30"/>
          <w:lang w:bidi="ar"/>
        </w:rPr>
        <w:t>三、研究生培养相关制度及执行情况</w:t>
      </w:r>
      <w:bookmarkEnd w:id="53"/>
      <w:bookmarkEnd w:id="54"/>
      <w:bookmarkEnd w:id="55"/>
      <w:bookmarkEnd w:id="56"/>
      <w:bookmarkEnd w:id="57"/>
      <w:bookmarkEnd w:id="58"/>
    </w:p>
    <w:p>
      <w:pPr>
        <w:pStyle w:val="2"/>
        <w:ind w:firstLine="562"/>
        <w:outlineLvl w:val="1"/>
        <w:rPr>
          <w:rFonts w:ascii="Times New Roman" w:hAnsi="Times New Roman" w:cs="Times New Roman"/>
          <w:sz w:val="30"/>
          <w:szCs w:val="30"/>
          <w:lang w:bidi="ar"/>
        </w:rPr>
      </w:pPr>
      <w:bookmarkStart w:id="59" w:name="_Toc28537"/>
      <w:bookmarkStart w:id="60" w:name="_Toc31702"/>
      <w:bookmarkStart w:id="61" w:name="_Toc12656"/>
      <w:bookmarkStart w:id="62" w:name="_Toc10520"/>
      <w:r>
        <w:rPr>
          <w:rFonts w:ascii="Times New Roman" w:hAnsi="Times New Roman" w:cs="Times New Roman"/>
          <w:sz w:val="30"/>
          <w:szCs w:val="30"/>
          <w:lang w:bidi="ar"/>
        </w:rPr>
        <w:t>课程建设与实施情况，导师选拔培训、</w:t>
      </w:r>
      <w:r>
        <w:rPr>
          <w:rStyle w:val="28"/>
          <w:rFonts w:ascii="Times New Roman" w:hAnsi="Times New Roman" w:cs="Times New Roman"/>
          <w:sz w:val="30"/>
          <w:szCs w:val="30"/>
          <w:lang w:bidi="ar"/>
        </w:rPr>
        <w:t>师德师风建设</w:t>
      </w:r>
      <w:r>
        <w:rPr>
          <w:rFonts w:ascii="Times New Roman" w:hAnsi="Times New Roman" w:cs="Times New Roman"/>
          <w:sz w:val="30"/>
          <w:szCs w:val="30"/>
          <w:lang w:bidi="ar"/>
        </w:rPr>
        <w:t>情况，学术训练情况，学术交流情况，研究生奖助情况</w:t>
      </w:r>
      <w:r>
        <w:rPr>
          <w:rStyle w:val="28"/>
          <w:rFonts w:ascii="Times New Roman" w:hAnsi="Times New Roman" w:cs="Times New Roman"/>
          <w:sz w:val="30"/>
          <w:szCs w:val="30"/>
          <w:lang w:bidi="ar"/>
        </w:rPr>
        <w:t>等</w:t>
      </w:r>
      <w:r>
        <w:rPr>
          <w:rFonts w:ascii="Times New Roman" w:hAnsi="Times New Roman" w:cs="Times New Roman"/>
          <w:sz w:val="30"/>
          <w:szCs w:val="30"/>
          <w:lang w:bidi="ar"/>
        </w:rPr>
        <w:t>。</w:t>
      </w:r>
      <w:bookmarkEnd w:id="59"/>
      <w:bookmarkEnd w:id="60"/>
      <w:bookmarkEnd w:id="61"/>
      <w:bookmarkEnd w:id="62"/>
    </w:p>
    <w:p>
      <w:pPr>
        <w:pStyle w:val="4"/>
        <w:rPr>
          <w:rFonts w:ascii="Times New Roman" w:hAnsi="Times New Roman" w:eastAsia="宋体" w:cs="Times New Roman"/>
          <w:sz w:val="28"/>
          <w:szCs w:val="28"/>
        </w:rPr>
      </w:pPr>
      <w:bookmarkStart w:id="63" w:name="_Toc25772"/>
      <w:bookmarkStart w:id="64" w:name="_Toc13223"/>
      <w:bookmarkStart w:id="65" w:name="_Toc99551414"/>
      <w:bookmarkStart w:id="66" w:name="_Toc10821"/>
      <w:bookmarkStart w:id="67" w:name="_Toc99634681"/>
      <w:bookmarkStart w:id="68" w:name="_Toc4354"/>
      <w:r>
        <w:rPr>
          <w:rFonts w:ascii="Times New Roman" w:hAnsi="Times New Roman" w:eastAsia="宋体" w:cs="Times New Roman"/>
          <w:color w:val="000000"/>
          <w:sz w:val="28"/>
          <w:szCs w:val="28"/>
        </w:rPr>
        <w:t>1</w:t>
      </w:r>
      <w:r>
        <w:rPr>
          <w:rFonts w:ascii="Times New Roman" w:hAnsi="Times New Roman" w:eastAsia="宋体" w:cs="Times New Roman"/>
          <w:sz w:val="28"/>
          <w:szCs w:val="28"/>
          <w:lang w:bidi="ar"/>
        </w:rPr>
        <w:t>．</w:t>
      </w:r>
      <w:r>
        <w:rPr>
          <w:rFonts w:ascii="Times New Roman" w:hAnsi="Times New Roman" w:eastAsia="宋体" w:cs="Times New Roman"/>
          <w:color w:val="000000"/>
          <w:sz w:val="28"/>
          <w:szCs w:val="28"/>
        </w:rPr>
        <w:t>课程建设与实施情况</w:t>
      </w:r>
      <w:bookmarkEnd w:id="63"/>
      <w:bookmarkEnd w:id="64"/>
      <w:bookmarkEnd w:id="65"/>
      <w:bookmarkEnd w:id="66"/>
      <w:bookmarkEnd w:id="67"/>
      <w:bookmarkEnd w:id="68"/>
      <w:r>
        <w:rPr>
          <w:rFonts w:ascii="Times New Roman" w:hAnsi="Times New Roman" w:eastAsia="宋体" w:cs="Times New Roman"/>
          <w:color w:val="000000"/>
          <w:sz w:val="28"/>
          <w:szCs w:val="28"/>
        </w:rPr>
        <w:t xml:space="preserve"> </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本学位点课程教学分为必修和选修环节。必修环节包括公共基础课和专业核心课，专业核心课主要包括本学位点所有同学都必修掌握的现代生物学技术和水产养殖基础理论，主要包括《细胞生物学技术》、《现代分子生物学》、《高级水生生物学》、《水产养殖学概论》等课程；选修环节主要为专业方向设置的课程，如水产动物遗传育种与利用方向的《遗传育种学》、《发育生物学》等，水产动物免疫与疾病控制方向的《水生生物疾病与防治》、《分子免疫学》等，水产动物健康养殖与资源保护的《鱼类学》、《现代水产动物增养殖学》、《环境资源与生态学》等。学生可以根据自己的专业方向选择相应的课程。在实际教学过程中，本学位点要求每位导师亲自为学生上课，讲授内容主要为自己研究领域的前沿进展，试验的设计，数据分析等，为学生进入实验室进行科学研究奠定良好的理论基础。</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为加强和规范研究生课程设置与教学管理，提高研究生教学质量，根据学院和学位点具体情况，制定《课程与教学环节管理制度》。</w:t>
      </w:r>
    </w:p>
    <w:p>
      <w:pPr>
        <w:widowControl/>
        <w:spacing w:line="560" w:lineRule="exact"/>
        <w:ind w:firstLine="562" w:firstLineChars="200"/>
        <w:textAlignment w:val="baseline"/>
        <w:rPr>
          <w:rFonts w:ascii="Times New Roman" w:hAnsi="Times New Roman" w:eastAsia="宋体" w:cs="Times New Roman"/>
          <w:b/>
          <w:bCs/>
          <w:color w:val="000000"/>
          <w:sz w:val="28"/>
          <w:szCs w:val="28"/>
        </w:rPr>
      </w:pPr>
    </w:p>
    <w:p>
      <w:pPr>
        <w:pStyle w:val="2"/>
        <w:rPr>
          <w:rFonts w:ascii="Times New Roman" w:hAnsi="Times New Roman" w:eastAsia="宋体" w:cs="Times New Roman"/>
          <w:b/>
          <w:bCs/>
          <w:color w:val="000000"/>
          <w:sz w:val="28"/>
          <w:szCs w:val="28"/>
        </w:rPr>
      </w:pPr>
    </w:p>
    <w:p/>
    <w:p>
      <w:pPr>
        <w:keepNext w:val="0"/>
        <w:keepLines w:val="0"/>
        <w:pageBreakBefore w:val="0"/>
        <w:widowControl/>
        <w:kinsoku/>
        <w:wordWrap/>
        <w:overflowPunct/>
        <w:topLinePunct w:val="0"/>
        <w:autoSpaceDE/>
        <w:autoSpaceDN/>
        <w:bidi w:val="0"/>
        <w:adjustRightInd/>
        <w:snapToGrid/>
        <w:spacing w:before="120" w:after="120" w:line="240" w:lineRule="auto"/>
        <w:textAlignment w:val="baseline"/>
        <w:outlineLvl w:val="1"/>
        <w:rPr>
          <w:rFonts w:ascii="Times New Roman" w:hAnsi="Times New Roman" w:eastAsia="宋体" w:cs="Times New Roman"/>
          <w:b/>
          <w:bCs/>
          <w:color w:val="000000"/>
          <w:kern w:val="2"/>
          <w:sz w:val="28"/>
          <w:szCs w:val="28"/>
          <w:lang w:val="en-US" w:eastAsia="zh-CN" w:bidi="ar-SA"/>
        </w:rPr>
      </w:pPr>
      <w:bookmarkStart w:id="69" w:name="_Toc12693"/>
      <w:bookmarkStart w:id="70" w:name="_Toc22061"/>
      <w:bookmarkStart w:id="71" w:name="_Toc18054"/>
      <w:r>
        <w:rPr>
          <w:rFonts w:hint="eastAsia" w:ascii="Times New Roman" w:hAnsi="Times New Roman" w:eastAsia="宋体" w:cs="Times New Roman"/>
          <w:b/>
          <w:bCs/>
          <w:color w:val="000000"/>
          <w:kern w:val="2"/>
          <w:sz w:val="28"/>
          <w:szCs w:val="28"/>
          <w:lang w:val="en-US" w:eastAsia="zh-CN" w:bidi="ar-SA"/>
        </w:rPr>
        <w:t>2</w:t>
      </w:r>
      <w:r>
        <w:rPr>
          <w:rFonts w:ascii="Times New Roman" w:hAnsi="Times New Roman" w:eastAsia="宋体" w:cs="Times New Roman"/>
          <w:b/>
          <w:bCs/>
          <w:color w:val="000000"/>
          <w:kern w:val="2"/>
          <w:sz w:val="28"/>
          <w:szCs w:val="28"/>
          <w:lang w:val="en-US" w:eastAsia="zh-CN" w:bidi="ar-SA"/>
        </w:rPr>
        <w:t>．</w:t>
      </w:r>
      <w:bookmarkEnd w:id="69"/>
      <w:bookmarkEnd w:id="70"/>
      <w:bookmarkEnd w:id="71"/>
      <w:r>
        <w:rPr>
          <w:rFonts w:hint="eastAsia" w:ascii="Times New Roman" w:hAnsi="Times New Roman" w:eastAsia="宋体" w:cs="Times New Roman"/>
          <w:b/>
          <w:bCs/>
          <w:color w:val="000000"/>
          <w:kern w:val="2"/>
          <w:sz w:val="28"/>
          <w:szCs w:val="28"/>
          <w:lang w:val="en-US" w:eastAsia="zh-CN" w:bidi="ar-SA"/>
        </w:rPr>
        <w:t>导师选拔培训</w:t>
      </w:r>
    </w:p>
    <w:p>
      <w:pPr>
        <w:widowControl/>
        <w:numPr>
          <w:ilvl w:val="0"/>
          <w:numId w:val="0"/>
        </w:numPr>
        <w:spacing w:line="560" w:lineRule="exact"/>
        <w:ind w:leftChars="0"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本学位点导师队伍的选聘、培训和考核均按照《南昌大学生命科学学院硕士研究生导师遴选、上岗和招生管理办法》执行。</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目前本学位点共有硕士生导师</w:t>
      </w:r>
      <w:r>
        <w:rPr>
          <w:rFonts w:hint="eastAsia" w:ascii="Times New Roman" w:hAnsi="Times New Roman" w:eastAsia="宋体" w:cs="Times New Roman"/>
          <w:color w:val="000000"/>
          <w:sz w:val="28"/>
          <w:szCs w:val="28"/>
          <w:lang w:val="en-US" w:eastAsia="zh-CN"/>
        </w:rPr>
        <w:t>11</w:t>
      </w:r>
      <w:r>
        <w:rPr>
          <w:rFonts w:ascii="Times New Roman" w:hAnsi="Times New Roman" w:eastAsia="宋体" w:cs="Times New Roman"/>
          <w:color w:val="000000"/>
          <w:sz w:val="28"/>
          <w:szCs w:val="28"/>
        </w:rPr>
        <w:t>人，每年上岗必须经过学院教授委员会的考核合格，具有下列（前4 条）情形之一的研究生导师，暂停上岗招生：</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（1）学术行为不端，或师德师风等方面存在严重问题；</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（2）所指导研究生学位论文在各级抽检中出现不合格；</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（3）在教学、招生(含自主命题)和指导等工作中出现重大责任事故，或存在严重违纪、违规行为并造成不良影响；</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（4）导师招生后将研究生转由其他人指导的（正式签署协议的联合培养除外）。</w:t>
      </w:r>
    </w:p>
    <w:p>
      <w:pPr>
        <w:pStyle w:val="4"/>
        <w:rPr>
          <w:rFonts w:ascii="Times New Roman" w:hAnsi="Times New Roman" w:eastAsia="宋体" w:cs="Times New Roman"/>
          <w:b w:val="0"/>
          <w:bCs w:val="0"/>
          <w:color w:val="000000"/>
          <w:sz w:val="28"/>
          <w:szCs w:val="28"/>
        </w:rPr>
      </w:pPr>
      <w:bookmarkStart w:id="72" w:name="_Toc32627"/>
      <w:bookmarkStart w:id="73" w:name="_Toc11573"/>
      <w:bookmarkStart w:id="74" w:name="_Toc4552"/>
      <w:bookmarkStart w:id="75" w:name="_Toc8170"/>
      <w:bookmarkStart w:id="76" w:name="_Toc99634683"/>
      <w:bookmarkStart w:id="77" w:name="_Toc99551416"/>
      <w:r>
        <w:rPr>
          <w:rFonts w:ascii="Times New Roman" w:hAnsi="Times New Roman" w:eastAsia="宋体" w:cs="Times New Roman"/>
          <w:color w:val="000000"/>
          <w:sz w:val="28"/>
          <w:szCs w:val="28"/>
          <w:lang w:bidi="ar"/>
        </w:rPr>
        <w:t>3．师德师风建设情况</w:t>
      </w:r>
      <w:bookmarkEnd w:id="72"/>
      <w:bookmarkEnd w:id="73"/>
      <w:bookmarkEnd w:id="74"/>
      <w:bookmarkEnd w:id="75"/>
      <w:bookmarkEnd w:id="76"/>
      <w:bookmarkEnd w:id="77"/>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（1）坚持党建引领，筑牢师德师风魂</w:t>
      </w:r>
    </w:p>
    <w:p>
      <w:pPr>
        <w:widowControl/>
        <w:spacing w:line="560" w:lineRule="exact"/>
        <w:ind w:firstLine="840" w:firstLineChars="3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坚持党建引领。高举习近平新时代中国特色社会主义思想旗帜，开展党建示范引领和创先争优工作，深入实施“党建双领双同”计划，推进教工支部书记“双带头人”培育工程；制定学院教师“传-帮-带”制度，建立教师党员科研领先、科技服务的表彰机制，促进学院党建和业务互相融合、互相促进的良好局面。</w:t>
      </w:r>
    </w:p>
    <w:p>
      <w:pPr>
        <w:widowControl/>
        <w:spacing w:line="560" w:lineRule="exact"/>
        <w:ind w:firstLine="840" w:firstLineChars="3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夯实制度基础。制定《生命科学学院师德师风建设实施方案》《生命科学学院师德师风考核实施办法》《生命科学学院意识形态长效机制》等制度，利用教师师德失范行为处理办法，教师师德考核负面清单等，建立师德师风负面事件处理机制，规范教师履职履责，推进师德师风建设。</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（2）强化考核监督，严把师德师风关</w:t>
      </w:r>
    </w:p>
    <w:p>
      <w:pPr>
        <w:widowControl/>
        <w:spacing w:line="560" w:lineRule="exact"/>
        <w:ind w:firstLine="840" w:firstLineChars="3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发挥监督作用。通过在网站公开学院投诉电话,在学院办公区设立投诉信箱，接受对学院教师师德师风的投诉；加强对出国教师的言行监管、定期约谈；加强对来校学术交流专家的政治审查和把关；坚持定期向学生了解教师师德师风情况等举措，严明师风师纪，划清师德红线。</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lang w:val="en-US" w:eastAsia="zh-CN"/>
        </w:rPr>
        <w:t xml:space="preserve">  </w:t>
      </w:r>
      <w:r>
        <w:rPr>
          <w:rFonts w:ascii="Times New Roman" w:hAnsi="Times New Roman" w:eastAsia="宋体" w:cs="Times New Roman"/>
          <w:color w:val="000000"/>
          <w:sz w:val="28"/>
          <w:szCs w:val="28"/>
        </w:rPr>
        <w:t>严格考核评价。列出师德考核负面清单，将对教师的考核和学生评价结果与职称评聘、职务晋升、评奖评优、导师遴选相结合，实行师德一票否决制。</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（3）加强宣传教育，营造师德师风正气</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加强学习教育。学院通过开展教育教学思想大讨论、教师岗前培训、入职宣誓仪式、签订师德承诺书、青年教师座谈等多种形式，推动教师参与学习考察、志愿服务、社会实践等，以学习养正气、行动立师德。</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 注重宣传表彰。以第 24 届“中国青年五四奖章集体”</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“稻渔工程”团队、被《人民日报》称赞为“自然之子”</w:t>
      </w:r>
      <w:r>
        <w:rPr>
          <w:rFonts w:hint="eastAsia" w:ascii="Times New Roman" w:hAnsi="Times New Roman" w:eastAsia="宋体" w:cs="Times New Roman"/>
          <w:color w:val="000000"/>
          <w:sz w:val="28"/>
          <w:szCs w:val="28"/>
        </w:rPr>
        <w:t>—</w:t>
      </w:r>
      <w:r>
        <w:rPr>
          <w:rFonts w:ascii="Times New Roman" w:hAnsi="Times New Roman" w:eastAsia="宋体" w:cs="Times New Roman"/>
          <w:color w:val="000000"/>
          <w:sz w:val="28"/>
          <w:szCs w:val="28"/>
        </w:rPr>
        <w:t>杨柏云教授等一批学院典型模范的先进事迹，积极引导和激励广大教师坚决落实习近平总书记“把论文写在祖国大地上”的重要指示，深化产学研用融合，在服务经济社会方面发挥标杆作用。学院每年均表彰年度“十大教书育人先进个人”、“优秀共产党员”、“突出贡献奖”等典型。</w:t>
      </w:r>
    </w:p>
    <w:p>
      <w:pPr>
        <w:pStyle w:val="4"/>
        <w:rPr>
          <w:rFonts w:ascii="Times New Roman" w:hAnsi="Times New Roman" w:eastAsia="宋体" w:cs="Times New Roman"/>
          <w:b w:val="0"/>
          <w:bCs w:val="0"/>
          <w:color w:val="000000"/>
          <w:sz w:val="28"/>
          <w:szCs w:val="28"/>
        </w:rPr>
      </w:pPr>
      <w:bookmarkStart w:id="78" w:name="_Toc6594"/>
      <w:bookmarkStart w:id="79" w:name="_Toc1482"/>
      <w:bookmarkStart w:id="80" w:name="_Toc99551417"/>
      <w:bookmarkStart w:id="81" w:name="_Toc99634684"/>
      <w:bookmarkStart w:id="82" w:name="_Toc8614"/>
      <w:bookmarkStart w:id="83" w:name="_Toc25689"/>
      <w:r>
        <w:rPr>
          <w:rFonts w:ascii="Times New Roman" w:hAnsi="Times New Roman" w:eastAsia="宋体" w:cs="Times New Roman"/>
          <w:color w:val="000000"/>
          <w:sz w:val="28"/>
          <w:szCs w:val="28"/>
          <w:lang w:bidi="ar"/>
        </w:rPr>
        <w:t>4．学术训练情况</w:t>
      </w:r>
      <w:bookmarkEnd w:id="78"/>
      <w:bookmarkEnd w:id="79"/>
      <w:bookmarkEnd w:id="80"/>
      <w:bookmarkEnd w:id="81"/>
      <w:bookmarkEnd w:id="82"/>
      <w:bookmarkEnd w:id="83"/>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在研究生培养过程中，本学位点通过组会、学术报告等形式对学生进行学术训练，硕士生在学习期间要求至少参加十次学术活动（其中至少做1次报告），参加活动后撰写不少于400字的小结，并填写《南昌大学研究生学术活动记录册》，经导师考查合格，给予学分，并存入硕士生业务档案。必须参加一次学术会议，公开作1次学术报告。目前已有</w:t>
      </w:r>
      <w:r>
        <w:rPr>
          <w:rFonts w:hint="eastAsia" w:ascii="Times New Roman" w:hAnsi="Times New Roman" w:eastAsia="宋体" w:cs="Times New Roman"/>
          <w:color w:val="000000"/>
          <w:sz w:val="28"/>
          <w:szCs w:val="28"/>
        </w:rPr>
        <w:t>4</w:t>
      </w:r>
      <w:r>
        <w:rPr>
          <w:rFonts w:ascii="Times New Roman" w:hAnsi="Times New Roman" w:eastAsia="宋体" w:cs="Times New Roman"/>
          <w:color w:val="000000"/>
          <w:sz w:val="28"/>
          <w:szCs w:val="28"/>
        </w:rPr>
        <w:t>位同学在相关学术会上做分会报告，取得了良好的效果。除此之外，每位同学在各自组会上均对自己的工作做了汇报和交流。</w:t>
      </w:r>
    </w:p>
    <w:p>
      <w:pPr>
        <w:pStyle w:val="4"/>
        <w:rPr>
          <w:rFonts w:ascii="Times New Roman" w:hAnsi="Times New Roman" w:eastAsia="宋体" w:cs="Times New Roman"/>
          <w:b w:val="0"/>
          <w:bCs w:val="0"/>
          <w:color w:val="000000"/>
          <w:sz w:val="28"/>
          <w:szCs w:val="28"/>
        </w:rPr>
      </w:pPr>
      <w:bookmarkStart w:id="84" w:name="_Toc4318"/>
      <w:bookmarkStart w:id="85" w:name="_Toc5280"/>
      <w:bookmarkStart w:id="86" w:name="_Toc99634685"/>
      <w:bookmarkStart w:id="87" w:name="_Toc10351"/>
      <w:bookmarkStart w:id="88" w:name="_Toc9764"/>
      <w:bookmarkStart w:id="89" w:name="_Toc99551418"/>
      <w:r>
        <w:rPr>
          <w:rFonts w:ascii="Times New Roman" w:hAnsi="Times New Roman" w:eastAsia="宋体" w:cs="Times New Roman"/>
          <w:color w:val="000000"/>
          <w:sz w:val="28"/>
          <w:szCs w:val="28"/>
          <w:lang w:bidi="ar"/>
        </w:rPr>
        <w:t>5．学术交流情况</w:t>
      </w:r>
      <w:bookmarkEnd w:id="84"/>
      <w:bookmarkEnd w:id="85"/>
      <w:bookmarkEnd w:id="86"/>
      <w:bookmarkEnd w:id="87"/>
      <w:bookmarkEnd w:id="88"/>
      <w:bookmarkEnd w:id="89"/>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学位点一直鼓励学生参加各种学术交流活动，每年组织学生参加全国性的水产相关会议，如中国水产学会年会、中国水产学会淡水养殖分会、华东地区动物营养与饲料科技论坛、全国规模化水产健康养殖增效论坛等。</w:t>
      </w:r>
    </w:p>
    <w:p>
      <w:pPr>
        <w:pStyle w:val="4"/>
        <w:rPr>
          <w:rFonts w:ascii="Times New Roman" w:hAnsi="Times New Roman" w:eastAsia="宋体" w:cs="Times New Roman"/>
          <w:b w:val="0"/>
          <w:bCs w:val="0"/>
          <w:color w:val="000000"/>
          <w:sz w:val="28"/>
          <w:szCs w:val="28"/>
        </w:rPr>
      </w:pPr>
      <w:bookmarkStart w:id="90" w:name="_Toc1280"/>
      <w:bookmarkStart w:id="91" w:name="_Toc99551419"/>
      <w:bookmarkStart w:id="92" w:name="_Toc23422"/>
      <w:bookmarkStart w:id="93" w:name="_Toc99634686"/>
      <w:bookmarkStart w:id="94" w:name="_Toc31214"/>
      <w:bookmarkStart w:id="95" w:name="_Toc16652"/>
      <w:r>
        <w:rPr>
          <w:rFonts w:ascii="Times New Roman" w:hAnsi="Times New Roman" w:eastAsia="宋体" w:cs="Times New Roman"/>
          <w:color w:val="000000"/>
          <w:sz w:val="28"/>
          <w:szCs w:val="28"/>
          <w:lang w:bidi="ar"/>
        </w:rPr>
        <w:t>6．研究生奖助情况</w:t>
      </w:r>
      <w:bookmarkEnd w:id="90"/>
      <w:bookmarkEnd w:id="91"/>
      <w:bookmarkEnd w:id="92"/>
      <w:bookmarkEnd w:id="93"/>
      <w:bookmarkEnd w:id="94"/>
      <w:bookmarkEnd w:id="95"/>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制度建设：为了鼓励研究生更好的学习和科研，本学位点根据学校学院制定的相关制度进行奖评。主要制度包括《生命科学学院研究生奖学金学术成果认定及综合得分计算办法》、《硕士研究生学业奖学金首次评定办法》、《硕士研究生学业奖学金首次评定办法》、《硕士研究生学业奖学金二次评定综合成绩计算办法》、《硕士研究生学业奖学金末次评定综合成绩计算办法》等。</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2）奖助体系：本学位点按照南昌大学研究生奖助学金体系进行奖助。该体系主要包括研究生国家奖学金、江西省政府研究生奖学金、研究生国家助学金、研究生学业奖学金、研究生高水平科研成果奖、研究生优秀奖学金、研究生专项奖学金、研究生助研金、研究生助贷金、研究生困难补助金等十类奖助项目组成。上述奖助学金分别按不同等级、不同比例设定。</w:t>
      </w:r>
    </w:p>
    <w:p>
      <w:pPr>
        <w:widowControl/>
        <w:spacing w:line="560" w:lineRule="exact"/>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（3）覆盖面：研究生国家助学金资助和研究生学业奖学金均为100%全覆盖，研究生学业奖学金一等奖的40%部分为江西省高校研究生学业奖学金奖励对象。</w:t>
      </w:r>
    </w:p>
    <w:p>
      <w:pPr>
        <w:pStyle w:val="3"/>
        <w:rPr>
          <w:rFonts w:ascii="Times New Roman" w:hAnsi="Times New Roman" w:eastAsia="黑体" w:cs="Times New Roman"/>
        </w:rPr>
      </w:pPr>
      <w:bookmarkStart w:id="96" w:name="_Toc99634687"/>
      <w:bookmarkStart w:id="97" w:name="_Toc13684"/>
      <w:bookmarkStart w:id="98" w:name="_Toc31025"/>
      <w:bookmarkStart w:id="99" w:name="_Toc99551420"/>
      <w:bookmarkStart w:id="100" w:name="_Toc8106"/>
      <w:bookmarkStart w:id="101" w:name="_Toc8258"/>
      <w:r>
        <w:rPr>
          <w:rStyle w:val="28"/>
          <w:rFonts w:ascii="Times New Roman" w:hAnsi="Times New Roman" w:eastAsia="黑体" w:cs="Times New Roman"/>
          <w:sz w:val="30"/>
          <w:szCs w:val="30"/>
          <w:lang w:bidi="ar"/>
        </w:rPr>
        <w:t>四、研究生教育改革情况</w:t>
      </w:r>
      <w:bookmarkEnd w:id="96"/>
      <w:bookmarkEnd w:id="97"/>
      <w:bookmarkEnd w:id="98"/>
      <w:bookmarkEnd w:id="99"/>
      <w:bookmarkEnd w:id="100"/>
      <w:bookmarkEnd w:id="101"/>
    </w:p>
    <w:p>
      <w:pPr>
        <w:ind w:firstLine="600" w:firstLineChars="200"/>
        <w:rPr>
          <w:rStyle w:val="24"/>
          <w:rFonts w:ascii="Times New Roman" w:hAnsi="Times New Roman" w:cs="Times New Roman"/>
          <w:sz w:val="32"/>
          <w:szCs w:val="32"/>
        </w:rPr>
      </w:pPr>
      <w:r>
        <w:rPr>
          <w:rStyle w:val="28"/>
          <w:rFonts w:ascii="Times New Roman" w:hAnsi="Times New Roman" w:cs="Times New Roman"/>
          <w:sz w:val="30"/>
          <w:szCs w:val="30"/>
          <w:lang w:bidi="ar"/>
        </w:rPr>
        <w:t>人才培养，教师队伍建设，科学研究，传承创新优秀文化，国际合作交流等方面的改革创新情况等。</w:t>
      </w:r>
    </w:p>
    <w:p>
      <w:pPr>
        <w:pStyle w:val="4"/>
        <w:rPr>
          <w:rFonts w:ascii="Times New Roman" w:hAnsi="Times New Roman" w:eastAsia="宋体" w:cs="Times New Roman"/>
          <w:b w:val="0"/>
          <w:bCs w:val="0"/>
          <w:sz w:val="28"/>
          <w:szCs w:val="28"/>
        </w:rPr>
      </w:pPr>
      <w:bookmarkStart w:id="102" w:name="_Toc31056"/>
      <w:bookmarkStart w:id="103" w:name="_Toc99551421"/>
      <w:bookmarkStart w:id="104" w:name="_Toc32736"/>
      <w:bookmarkStart w:id="105" w:name="_Toc12818"/>
      <w:bookmarkStart w:id="106" w:name="_Toc99634688"/>
      <w:bookmarkStart w:id="107" w:name="_Toc26460"/>
      <w:r>
        <w:rPr>
          <w:rFonts w:ascii="Times New Roman" w:hAnsi="Times New Roman" w:eastAsia="宋体" w:cs="Times New Roman"/>
          <w:color w:val="000000"/>
          <w:sz w:val="28"/>
          <w:szCs w:val="28"/>
        </w:rPr>
        <w:t>1．人才培养</w:t>
      </w:r>
      <w:bookmarkEnd w:id="102"/>
      <w:bookmarkEnd w:id="103"/>
      <w:bookmarkEnd w:id="104"/>
      <w:bookmarkEnd w:id="105"/>
      <w:bookmarkEnd w:id="106"/>
      <w:bookmarkEnd w:id="107"/>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贯彻“面向世界、面向未来、面向现代化”的教育思想，坚持知识、能力、素质的协调统一，注重学生的个性发展和特长发挥，致力于培养学生的创新能力、就业能力和创新能力，构建具有自身特色的人才培养模式。</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以学科建设为中心，以学位点建设为基础，通过对学科学位点的“扬优、支重、该老、扶新”，合理配置资源，进一步优化学科专业结构，形成学科与专业的有机结合、协调发展的新局面。</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深化教育教学改革，打破原来按单一学科设课的方式，利用南昌大学相关学科的教学、实验平台进行整合，形成模块化、立体式实践教学体系，通过交叉学科的实验、实践课程，开阔视野，训练动手能力，促进学生知识、能力、思维和素质的全面培养。</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本学位点培育出获得第四届、第七届全国“互联网+”大学生创新创业大赛银奖和金奖的金峰、获江西省科技进步一等奖及中国食品科学技术学会技术进步一等奖的王诚远等优秀学生。</w:t>
      </w:r>
    </w:p>
    <w:p>
      <w:pPr>
        <w:pStyle w:val="4"/>
        <w:rPr>
          <w:rFonts w:ascii="Times New Roman" w:hAnsi="Times New Roman" w:eastAsia="宋体" w:cs="Times New Roman"/>
          <w:color w:val="000000"/>
          <w:sz w:val="28"/>
          <w:szCs w:val="28"/>
        </w:rPr>
      </w:pPr>
      <w:bookmarkStart w:id="108" w:name="_Toc29847"/>
      <w:bookmarkStart w:id="109" w:name="_Toc6693"/>
      <w:bookmarkStart w:id="110" w:name="_Toc99634689"/>
      <w:bookmarkStart w:id="111" w:name="_Toc744"/>
      <w:bookmarkStart w:id="112" w:name="_Toc99551422"/>
      <w:bookmarkStart w:id="113" w:name="_Toc20745"/>
      <w:r>
        <w:rPr>
          <w:rFonts w:ascii="Times New Roman" w:hAnsi="Times New Roman" w:eastAsia="宋体" w:cs="Times New Roman"/>
          <w:color w:val="000000"/>
          <w:sz w:val="28"/>
          <w:szCs w:val="28"/>
        </w:rPr>
        <w:t>2．教师队伍建设</w:t>
      </w:r>
      <w:bookmarkEnd w:id="108"/>
      <w:bookmarkEnd w:id="109"/>
      <w:bookmarkEnd w:id="110"/>
      <w:bookmarkEnd w:id="111"/>
      <w:bookmarkEnd w:id="112"/>
      <w:bookmarkEnd w:id="113"/>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一是引进杰出人才。利用我校“三百”人才队伍建设工程，重点培养与引进在国内外有影响、在国内有较高知名度的学术带头人，建立一支年龄结构、知识结构、专业结构合理的、有竞争力的优秀学术团队3-4个，培养出该领域在国内外有较高知名度的领军人才和高层次人才。目前，本学位点</w:t>
      </w:r>
      <w:r>
        <w:rPr>
          <w:rFonts w:hint="eastAsia" w:ascii="Times New Roman" w:hAnsi="Times New Roman" w:eastAsia="宋体" w:cs="Times New Roman"/>
          <w:sz w:val="28"/>
          <w:szCs w:val="28"/>
          <w:lang w:eastAsia="zh-CN"/>
        </w:rPr>
        <w:t>引进高层人才</w:t>
      </w:r>
      <w:r>
        <w:rPr>
          <w:rFonts w:hint="eastAsia" w:ascii="Times New Roman" w:hAnsi="Times New Roman" w:eastAsia="宋体" w:cs="Times New Roman"/>
          <w:sz w:val="28"/>
          <w:szCs w:val="28"/>
        </w:rPr>
        <w:t>1人</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1人</w:t>
      </w:r>
      <w:r>
        <w:rPr>
          <w:rFonts w:hint="eastAsia" w:ascii="Times New Roman" w:hAnsi="Times New Roman" w:eastAsia="宋体" w:cs="Times New Roman"/>
          <w:sz w:val="28"/>
          <w:szCs w:val="28"/>
        </w:rPr>
        <w:t>入选校高层次人才，1人入选香樟俊才，1人入选香樟育才。</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二是培养优秀人才。大力坚持和鼓励教师到国内外名校和科研院所攻读学位、访学、进修以及参加高层次国际学术会议。目前专业技术人员具有博士学位的比例达到80%。在主导研究方向上，建立了一只年龄结构、知识结构、专业结构合理的具有国际竞争力的优秀学术团队。</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三是突出建设重点。建立一支年龄结构、知识结构、专业结构合理的、有竞争力的优秀学术团队，培养出该领域在国内外有较高知名度的领军人才和注重培养国家杰出青年基金获得者层面的高层次人才。合理配置资源，依托重大科研项目，着力创建结构合理、团结协作的创新团队。</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四是提高队伍素质。坚持数量增加和素质提高相结合的发展原则，在扩大队伍增量的基础上，注重调整队伍结构，盘活人才存量，提升人才层次，增强人才素质，使人才队伍的规模、结构、层次、素质协调统一，建立稳定的骨干层和出入有序的流动层相结合的师资队伍。</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五是改进工作方法。坚持“稳定、引进、培养”并举的基本方针，正确处理好引进与培养、引进与使用、使用与培养、关键群体与基本群体、物质驱动与精神驱动、德才兼备与不拘一格的六个关系，实施灵活的人才政策和分配政策，真正使用学校引得进人才、育得出人才、留得住人才，成为高层次、高素质人才集聚高地。</w:t>
      </w:r>
    </w:p>
    <w:p>
      <w:pPr>
        <w:pStyle w:val="4"/>
        <w:rPr>
          <w:rFonts w:ascii="Times New Roman" w:hAnsi="Times New Roman" w:eastAsia="宋体" w:cs="Times New Roman"/>
          <w:b w:val="0"/>
          <w:bCs w:val="0"/>
          <w:sz w:val="28"/>
          <w:szCs w:val="28"/>
        </w:rPr>
      </w:pPr>
      <w:bookmarkStart w:id="114" w:name="_Toc99551423"/>
      <w:bookmarkStart w:id="115" w:name="_Toc99634690"/>
      <w:bookmarkStart w:id="116" w:name="_Toc1858"/>
      <w:bookmarkStart w:id="117" w:name="_Toc20326"/>
      <w:bookmarkStart w:id="118" w:name="_Toc6814"/>
      <w:bookmarkStart w:id="119" w:name="_Toc4050"/>
      <w:r>
        <w:rPr>
          <w:rFonts w:ascii="Times New Roman" w:hAnsi="Times New Roman" w:eastAsia="宋体" w:cs="Times New Roman"/>
          <w:sz w:val="28"/>
          <w:szCs w:val="28"/>
          <w:lang w:bidi="ar"/>
        </w:rPr>
        <w:t>3．科学研究</w:t>
      </w:r>
      <w:bookmarkEnd w:id="114"/>
      <w:bookmarkEnd w:id="115"/>
      <w:bookmarkEnd w:id="116"/>
      <w:bookmarkEnd w:id="117"/>
      <w:bookmarkEnd w:id="118"/>
      <w:bookmarkEnd w:id="119"/>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我国水产业健康、可持续发展面临的主要问题包括资源匮乏、种质退化、疾病流行、环境恶化等。本学位点以水产业健康和可持续发展利用为主题，以服务经济建设和社会发展为宗旨，以前瞻性、综合性的重大项目为重点，以高科技为主导，在资源、环境、增殖养殖及其工程、种质、营养、病害等主要方向将开展更深入地研究，并注重各研究领域间的相互交叉，构建具有自身特色的科技创新体系。以水生生物防治技术和江西省水产经济动物的开发和保护为重点，以教学科研基地为依托，积极承接对经济建设和社会发展具有重要意义的项目，产出一批科技含量高、社会影响大、经济效益好的标志性成果。注重科技创新，加速成果转化，提高科技成果转化的成功率，推动教育、科技、经济的紧密结合。深化科技体制改革，加强科技创新规律的研究，促进科研水平的迅速提高，推动学科建设的跨越式发展。</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本学位点近3年承担科研项目45项，包括</w:t>
      </w:r>
      <w:r>
        <w:rPr>
          <w:rFonts w:hint="eastAsia" w:ascii="Times New Roman" w:hAnsi="Times New Roman" w:eastAsia="宋体" w:cs="Times New Roman"/>
          <w:sz w:val="28"/>
          <w:szCs w:val="28"/>
          <w:lang w:eastAsia="zh-CN"/>
        </w:rPr>
        <w:t>国家重点研发计划</w:t>
      </w:r>
      <w:r>
        <w:rPr>
          <w:rFonts w:hint="eastAsia" w:ascii="Times New Roman" w:hAnsi="Times New Roman" w:eastAsia="宋体" w:cs="Times New Roman"/>
          <w:sz w:val="28"/>
          <w:szCs w:val="28"/>
          <w:lang w:val="en-US" w:eastAsia="zh-CN"/>
        </w:rPr>
        <w:t>1项，</w:t>
      </w:r>
      <w:r>
        <w:rPr>
          <w:rFonts w:hint="eastAsia" w:ascii="Times New Roman" w:hAnsi="Times New Roman" w:eastAsia="宋体" w:cs="Times New Roman"/>
          <w:sz w:val="28"/>
          <w:szCs w:val="28"/>
        </w:rPr>
        <w:t>国家自然科学基金8项，省部级项目32项，横向项目5项，研究经费达</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000余万元。</w:t>
      </w:r>
    </w:p>
    <w:p>
      <w:pPr>
        <w:widowControl/>
        <w:spacing w:line="560" w:lineRule="exact"/>
        <w:ind w:firstLine="560" w:firstLineChars="200"/>
        <w:textAlignment w:val="baseline"/>
        <w:rPr>
          <w:rFonts w:ascii="Times New Roman" w:hAnsi="Times New Roman" w:eastAsia="宋体" w:cs="Times New Roman"/>
          <w:sz w:val="28"/>
          <w:szCs w:val="28"/>
        </w:rPr>
      </w:pPr>
      <w:r>
        <w:rPr>
          <w:rFonts w:hint="eastAsia" w:ascii="Times New Roman" w:hAnsi="Times New Roman" w:eastAsia="宋体" w:cs="Times New Roman"/>
          <w:sz w:val="28"/>
          <w:szCs w:val="28"/>
        </w:rPr>
        <w:t>本学位点一直以江西经济水生动物等为对象，对其遗传背景、生态资源、育种、病害防治及健康养殖技术等方面进行研究和探索，在理论研究与实践应用中是均取得了明显的成绩。成功选育著名的“江西四红”（ 即荷包红鲤、兴国红鲤、玻璃红鲤和萍乡红鲫）为代表的新品种5个、企业品种5个，制定国家及地方种质标准30余项。主持开展了鄱阳湖青虾的生物学与人工选育研究，成功地获得了F8 代鄱阳湖青虾，一方面使青虾的生长更快，同时保持了较为稳定的遗传性状，为我国水产新品种的研究提供了很好的思路。在国家公益性行业科研专项“珍珠养殖技术研究与示范”和国家引进国际先进技术（简称948 项目）“池蝶蚌繁育及育珠技术引进”等项目的资助下，成功地从日本引进淡水珍珠蚌，通过消化吸收以及创新性研究，在繁殖和育珠等方面获得了成功，在全国淡水珍珠主产区推广面积超过20 万亩，占全国淡水珍珠养殖面积的1/4；同时采用BLUP 技术，开展了家系选育，建立了100 组核心家系，获得了抗病性强、生长性能和育珠性能优异的家系组合，为建立具有我国自主知识产权的新品种奠定了良好的基础。在国家“973”子项目“萍乡红鲫遗传规律研究”、国家自然科学基金“萍乡红鲫生殖方式及遗传背景研究”和多个江西省科技攻关、省农业厅等项目资助下，成功地进行了我省特色地方品种“萍乡肉红鲫”的良种选育，经过12 年艰苦工作，成功地选育出江西省又一新养殖品种，被国家水产原良种审定委员会审定并定名为“萍乡红鲫”。此外，开发了系列甲鱼（英明甲鱼、鄱阳湖甲鱼、添鹏甲鱼）、婺源荷包红鲤鱼核心家系、鄱阳湖泥鳅、鄱阳湖鲫鱼等多个水产品种的新品系，已经在全省大规模推广和应用。在江西省农业厅及江西省渔业局的大力支持下，为江西省10万亩稻渔工程（稻渔、稻虾、稻蟹、稻鳖、稻蛙）提供技术支持，参与南丰特色甲鱼小镇的总体构建，提供技术支撑，共建产学研示范基地15个；服务龙头企业15家；水产新品种在核心区技术示范推广面积超过15万亩，总推广面积超过150万亩；培训农民超过10000人次。直接产生经济效益值超过50亿元。</w:t>
      </w:r>
    </w:p>
    <w:p>
      <w:pPr>
        <w:pStyle w:val="4"/>
        <w:rPr>
          <w:rFonts w:ascii="Times New Roman" w:hAnsi="Times New Roman" w:eastAsia="宋体" w:cs="Times New Roman"/>
          <w:sz w:val="28"/>
          <w:szCs w:val="28"/>
        </w:rPr>
      </w:pPr>
      <w:bookmarkStart w:id="120" w:name="_Toc99634691"/>
      <w:bookmarkStart w:id="121" w:name="_Toc26896"/>
      <w:bookmarkStart w:id="122" w:name="_Toc99551424"/>
      <w:bookmarkStart w:id="123" w:name="_Toc6609"/>
      <w:bookmarkStart w:id="124" w:name="_Toc3595"/>
      <w:bookmarkStart w:id="125" w:name="_Toc8034"/>
      <w:r>
        <w:rPr>
          <w:rFonts w:ascii="Times New Roman" w:hAnsi="Times New Roman" w:eastAsia="宋体" w:cs="Times New Roman"/>
          <w:sz w:val="28"/>
          <w:szCs w:val="28"/>
          <w:lang w:bidi="ar"/>
        </w:rPr>
        <w:t>4．传承创新优秀文化</w:t>
      </w:r>
      <w:bookmarkEnd w:id="120"/>
      <w:bookmarkEnd w:id="121"/>
      <w:bookmarkEnd w:id="122"/>
      <w:bookmarkEnd w:id="123"/>
      <w:bookmarkEnd w:id="124"/>
      <w:bookmarkEnd w:id="125"/>
      <w:r>
        <w:rPr>
          <w:rFonts w:hint="eastAsia" w:ascii="Times New Roman" w:hAnsi="Times New Roman" w:eastAsia="宋体" w:cs="Times New Roman"/>
          <w:sz w:val="28"/>
          <w:szCs w:val="28"/>
        </w:rPr>
        <w:t xml:space="preserve">   </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在研究生培养中，加强中国传统文化教育，将中国传统文化教育纳入到研究生培养体系，培养研究生全面认识中华民族的历史传统、文化积淀和基本国情，发挥中华民族优秀文化完善人格内涵、提升道德素养、塑造精神价值的引领作用，提升研究生思想涵养，树立正确的价值取向，提升创新能力。</w:t>
      </w:r>
    </w:p>
    <w:p>
      <w:pPr>
        <w:pStyle w:val="4"/>
        <w:rPr>
          <w:rFonts w:ascii="Times New Roman" w:hAnsi="Times New Roman" w:cs="Times New Roman"/>
        </w:rPr>
      </w:pPr>
      <w:bookmarkStart w:id="126" w:name="_Toc99634692"/>
      <w:bookmarkStart w:id="127" w:name="_Toc12602"/>
      <w:bookmarkStart w:id="128" w:name="_Toc27519"/>
      <w:bookmarkStart w:id="129" w:name="_Toc18689"/>
      <w:bookmarkStart w:id="130" w:name="_Toc31441"/>
      <w:bookmarkStart w:id="131" w:name="_Toc99551425"/>
      <w:r>
        <w:rPr>
          <w:rFonts w:ascii="Times New Roman" w:hAnsi="Times New Roman" w:eastAsia="宋体" w:cs="Times New Roman"/>
          <w:sz w:val="28"/>
          <w:szCs w:val="28"/>
          <w:lang w:bidi="ar"/>
        </w:rPr>
        <w:t>5．国际合作交流</w:t>
      </w:r>
      <w:bookmarkEnd w:id="126"/>
      <w:bookmarkEnd w:id="127"/>
      <w:bookmarkEnd w:id="128"/>
      <w:bookmarkEnd w:id="129"/>
      <w:bookmarkEnd w:id="130"/>
      <w:bookmarkEnd w:id="131"/>
    </w:p>
    <w:p>
      <w:pPr>
        <w:widowControl/>
        <w:spacing w:line="560" w:lineRule="exact"/>
        <w:ind w:firstLine="560" w:firstLineChars="200"/>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学位点</w:t>
      </w:r>
      <w:r>
        <w:rPr>
          <w:rFonts w:ascii="Times New Roman" w:hAnsi="Times New Roman" w:eastAsia="宋体" w:cs="Times New Roman"/>
          <w:sz w:val="28"/>
          <w:szCs w:val="28"/>
        </w:rPr>
        <w:t>国际化人才培养的改革充分考虑目前面临的机遇和挑战，吸取国外高校知名水产学科的发展经验，借鉴其先进的教育模式，实施有效的学生国际化培养措施，充分利用国境内外优质的教育资源以促进自身教育水平的发展。主要从人才引进，开展双语教学、鼓励青年教师出国学术访问或进修、开展合作研究和发表国际学术论文、进行国际学术交流，提高师生的国际化能力和人才培养的国际化认识与水平等方面进行改革。</w:t>
      </w:r>
      <w:r>
        <w:rPr>
          <w:rFonts w:hint="eastAsia" w:ascii="Times New Roman" w:hAnsi="Times New Roman" w:eastAsia="宋体" w:cs="Times New Roman"/>
          <w:sz w:val="28"/>
          <w:szCs w:val="28"/>
        </w:rPr>
        <w:t>目前，本学位点导师90%以上具有国外访学交流经历，每年有1-2名硕士研究赴海外进行学习和从事科学研究工作，有3名教师参加国际会议并做报告，有5名同学有参加国际会议经历。</w:t>
      </w:r>
    </w:p>
    <w:p>
      <w:pPr>
        <w:pStyle w:val="3"/>
        <w:rPr>
          <w:rFonts w:ascii="Times New Roman" w:hAnsi="Times New Roman" w:eastAsia="黑体" w:cs="Times New Roman"/>
        </w:rPr>
      </w:pPr>
      <w:bookmarkStart w:id="132" w:name="_Toc19767"/>
      <w:bookmarkStart w:id="133" w:name="_Toc99551426"/>
      <w:bookmarkStart w:id="134" w:name="_Toc99634693"/>
      <w:bookmarkStart w:id="135" w:name="_Toc8407"/>
      <w:bookmarkStart w:id="136" w:name="_Toc11931"/>
      <w:bookmarkStart w:id="137" w:name="_Toc25044"/>
      <w:r>
        <w:rPr>
          <w:rStyle w:val="28"/>
          <w:rFonts w:ascii="Times New Roman" w:hAnsi="Times New Roman" w:eastAsia="黑体" w:cs="Times New Roman"/>
          <w:sz w:val="32"/>
          <w:szCs w:val="32"/>
          <w:lang w:bidi="ar"/>
        </w:rPr>
        <w:t>五、教育质量评估与分析</w:t>
      </w:r>
      <w:bookmarkEnd w:id="132"/>
      <w:bookmarkEnd w:id="133"/>
      <w:bookmarkEnd w:id="134"/>
      <w:bookmarkEnd w:id="135"/>
      <w:bookmarkEnd w:id="136"/>
      <w:bookmarkEnd w:id="137"/>
    </w:p>
    <w:p>
      <w:pPr>
        <w:ind w:firstLine="640" w:firstLineChars="200"/>
        <w:outlineLvl w:val="1"/>
        <w:rPr>
          <w:rFonts w:ascii="Times New Roman" w:hAnsi="Times New Roman" w:cs="Times New Roman"/>
        </w:rPr>
      </w:pPr>
      <w:bookmarkStart w:id="138" w:name="_Toc30472"/>
      <w:bookmarkStart w:id="139" w:name="_Toc26218"/>
      <w:bookmarkStart w:id="140" w:name="_Toc12003"/>
      <w:r>
        <w:rPr>
          <w:rStyle w:val="28"/>
          <w:rFonts w:ascii="Times New Roman" w:hAnsi="Times New Roman" w:cs="Times New Roman"/>
          <w:sz w:val="32"/>
          <w:szCs w:val="32"/>
          <w:lang w:bidi="ar"/>
        </w:rPr>
        <w:t>学科自我评估进展及问题分析，学位论文抽检、盲审情况及问题分析等。</w:t>
      </w:r>
      <w:bookmarkEnd w:id="138"/>
      <w:bookmarkEnd w:id="139"/>
      <w:bookmarkEnd w:id="140"/>
    </w:p>
    <w:p>
      <w:pPr>
        <w:pStyle w:val="4"/>
        <w:rPr>
          <w:rFonts w:ascii="Times New Roman" w:hAnsi="Times New Roman" w:eastAsia="宋体" w:cs="Times New Roman"/>
          <w:b w:val="0"/>
          <w:bCs w:val="0"/>
          <w:sz w:val="28"/>
          <w:szCs w:val="28"/>
        </w:rPr>
      </w:pPr>
      <w:bookmarkStart w:id="141" w:name="_Toc25819"/>
      <w:bookmarkStart w:id="142" w:name="_Toc10857"/>
      <w:bookmarkStart w:id="143" w:name="_Toc99551427"/>
      <w:bookmarkStart w:id="144" w:name="_Toc99634694"/>
      <w:bookmarkStart w:id="145" w:name="_Toc19784"/>
      <w:bookmarkStart w:id="146" w:name="_Toc21402"/>
      <w:r>
        <w:rPr>
          <w:rFonts w:ascii="Times New Roman" w:hAnsi="Times New Roman" w:eastAsia="宋体" w:cs="Times New Roman"/>
          <w:color w:val="000000"/>
          <w:sz w:val="28"/>
          <w:szCs w:val="28"/>
        </w:rPr>
        <w:t>1</w:t>
      </w:r>
      <w:r>
        <w:rPr>
          <w:rFonts w:ascii="Times New Roman" w:hAnsi="Times New Roman" w:eastAsia="宋体" w:cs="Times New Roman"/>
          <w:sz w:val="28"/>
          <w:szCs w:val="28"/>
          <w:lang w:bidi="ar"/>
        </w:rPr>
        <w:t>．</w:t>
      </w:r>
      <w:r>
        <w:rPr>
          <w:rFonts w:ascii="Times New Roman" w:hAnsi="Times New Roman" w:eastAsia="宋体" w:cs="Times New Roman"/>
          <w:color w:val="000000"/>
          <w:sz w:val="28"/>
          <w:szCs w:val="28"/>
        </w:rPr>
        <w:t>学科自我评估进展及问题分析</w:t>
      </w:r>
      <w:bookmarkEnd w:id="141"/>
      <w:bookmarkEnd w:id="142"/>
      <w:bookmarkEnd w:id="143"/>
      <w:bookmarkEnd w:id="144"/>
      <w:bookmarkEnd w:id="145"/>
      <w:bookmarkEnd w:id="146"/>
    </w:p>
    <w:p>
      <w:pPr>
        <w:pStyle w:val="2"/>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 xml:space="preserve"> 组织机构</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南昌大学生命科学学院于2016年6月成立了“教育部学位中心第四轮学科评估和学位授权点评估工作领导小组”。</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南昌大学生命科学学院于2020年6月成立了“</w:t>
      </w:r>
      <w:r>
        <w:rPr>
          <w:rFonts w:hint="eastAsia" w:ascii="Times New Roman" w:hAnsi="Times New Roman" w:eastAsia="宋体" w:cs="Times New Roman"/>
          <w:sz w:val="28"/>
          <w:szCs w:val="28"/>
        </w:rPr>
        <w:t>南昌大学生命科学学院研究生</w:t>
      </w:r>
      <w:r>
        <w:rPr>
          <w:rFonts w:ascii="Times New Roman" w:hAnsi="Times New Roman" w:eastAsia="宋体" w:cs="Times New Roman"/>
          <w:sz w:val="28"/>
          <w:szCs w:val="28"/>
        </w:rPr>
        <w:t>学位授权点评估工作领导小组”。</w:t>
      </w:r>
      <w:r>
        <w:rPr>
          <w:rFonts w:hint="eastAsia" w:ascii="Times New Roman" w:hAnsi="Times New Roman" w:eastAsia="宋体" w:cs="Times New Roman"/>
          <w:sz w:val="28"/>
          <w:szCs w:val="28"/>
        </w:rPr>
        <w:t>成立专班组，明确了责任，学位点评估作为每年常态化的工作，每年做好评估、总结。</w:t>
      </w:r>
    </w:p>
    <w:p>
      <w:pPr>
        <w:rPr>
          <w:rFonts w:ascii="Times New Roman" w:hAnsi="Times New Roman" w:eastAsia="宋体" w:cs="Times New Roman"/>
          <w:sz w:val="28"/>
          <w:szCs w:val="28"/>
        </w:rPr>
      </w:pPr>
      <w:r>
        <w:t xml:space="preserve">   </w:t>
      </w:r>
      <w:r>
        <w:rPr>
          <w:rFonts w:ascii="Times New Roman" w:hAnsi="Times New Roman" w:eastAsia="宋体" w:cs="Times New Roman"/>
          <w:sz w:val="28"/>
          <w:szCs w:val="28"/>
        </w:rPr>
        <w:t>由南昌大学研究生院和生命科学学院组织和协调，水产养殖学位授权点为主体具实施。</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工作流程</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学位授权点准备评估材料：学位点准备《学位授权点自我评估总结报告》、《南昌大学学位授权点合格评估简况表》和相应的支撑、佐证的附件材料；</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专家评议：包括邀请不少于5人的校外同行专家，与专家进行充分沟通，发送评估材料，根据专家反馈意见，补充完善自评材料；专家组现场审阅学位授权点评估材料，通过听取学位点汇报、与师生和管理人员座谈、查阅有关资料等方式，了解学位点基本情况；各位专家对学位点分别进行评分，并提出评议意见；根据评估专家意见，修改完善自评报告，撰写学位授权点整改与提升方案。</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学位评定分委员会审议：学位评定分委员会召开会议，对学位授权点自评材料进行审议，提出学位点建设意见。</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校学位评定委员会审议：校学位评定委员会根据评估专家的评议结果、学位评定分委员会审议情况等，按议事规则对学位授权点自评结果进行审议表决。</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教育行政部门随机抽评。</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（3）评价情况</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2018年10月16日，南昌大学组织国内高校同行专家对水产养殖硕士学位授权点进行合格评估，专家组实地考察了学位点教学科研平台，听取了自我评估总结报告，审阅了自评材料，并与导师、学生代表进行座谈交流。经专家组质询、评议，形成如下意见：</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南昌大学水产养殖硕士学位授权点人才培养目标明确，办学思路清晰，学位授予标准符合国家要求。</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学位点立足江西，服务全国，在水产动物遗传育种与创制、水产动物免疫与疾病防控、水产动物绿色生态养殖等领域形成了特色鲜明、优势明显的稳定培养方向，导师队伍结构合理，科研项目支撑有力，资源配置和教学科研平台能满足硕士研究生教育需要。</w:t>
      </w:r>
    </w:p>
    <w:p>
      <w:pPr>
        <w:pStyle w:val="2"/>
        <w:ind w:firstLine="56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培养方案符合人才培养目标，课程设置满足学科发展要求，培养环节完备，培养过程规范，培养管理体系和保障制度健全，建立了国家、省、校等多级奖助体系。研究生培养质量高，就业率高，能适应社会发展需求。</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专家组一致建议通过合格评估。</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专家组建议：建议进一步加强师资队伍建设，加大人才引进力度；增加学位点建设经费投入。</w:t>
      </w:r>
    </w:p>
    <w:p>
      <w:pPr>
        <w:pStyle w:val="4"/>
        <w:rPr>
          <w:rFonts w:ascii="Times New Roman" w:hAnsi="Times New Roman" w:eastAsia="宋体" w:cs="Times New Roman"/>
          <w:b w:val="0"/>
          <w:bCs w:val="0"/>
          <w:sz w:val="28"/>
          <w:szCs w:val="28"/>
        </w:rPr>
      </w:pPr>
      <w:bookmarkStart w:id="147" w:name="_Toc99634696"/>
      <w:bookmarkStart w:id="148" w:name="_Toc20966"/>
      <w:bookmarkStart w:id="149" w:name="_Toc22391"/>
      <w:bookmarkStart w:id="150" w:name="_Toc10811"/>
      <w:bookmarkStart w:id="151" w:name="_Toc99551429"/>
      <w:bookmarkStart w:id="152" w:name="_Toc15389"/>
      <w:r>
        <w:rPr>
          <w:rFonts w:hint="eastAsia" w:ascii="Times New Roman" w:hAnsi="Times New Roman" w:eastAsia="宋体" w:cs="Times New Roman"/>
          <w:sz w:val="28"/>
          <w:szCs w:val="28"/>
          <w:lang w:val="en-US" w:eastAsia="zh-CN" w:bidi="ar"/>
        </w:rPr>
        <w:t>2</w:t>
      </w:r>
      <w:r>
        <w:rPr>
          <w:rFonts w:ascii="Times New Roman" w:hAnsi="Times New Roman" w:eastAsia="宋体" w:cs="Times New Roman"/>
          <w:sz w:val="28"/>
          <w:szCs w:val="28"/>
          <w:lang w:bidi="ar"/>
        </w:rPr>
        <w:t>．</w:t>
      </w:r>
      <w:r>
        <w:rPr>
          <w:rStyle w:val="28"/>
          <w:rFonts w:ascii="Times New Roman" w:hAnsi="Times New Roman" w:eastAsia="宋体" w:cs="Times New Roman"/>
          <w:sz w:val="28"/>
          <w:szCs w:val="28"/>
        </w:rPr>
        <w:t>学位论文抽检、盲审情况</w:t>
      </w:r>
      <w:bookmarkEnd w:id="147"/>
      <w:bookmarkEnd w:id="148"/>
      <w:bookmarkEnd w:id="149"/>
      <w:bookmarkEnd w:id="150"/>
      <w:bookmarkEnd w:id="151"/>
      <w:bookmarkEnd w:id="152"/>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Times New Roman"/>
          <w:sz w:val="28"/>
          <w:szCs w:val="28"/>
          <w:lang w:val="en-US" w:eastAsia="zh-CN"/>
        </w:rPr>
        <w:t>20</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2</w:t>
      </w:r>
      <w:bookmarkStart w:id="171" w:name="_GoBack"/>
      <w:bookmarkEnd w:id="171"/>
      <w:r>
        <w:rPr>
          <w:rFonts w:ascii="Times New Roman" w:hAnsi="Times New Roman" w:eastAsia="宋体" w:cs="Times New Roman"/>
          <w:sz w:val="28"/>
          <w:szCs w:val="28"/>
        </w:rPr>
        <w:t>年间，本学位点每年都有</w:t>
      </w:r>
      <w:r>
        <w:rPr>
          <w:rFonts w:hint="eastAsia" w:ascii="Times New Roman" w:hAnsi="Times New Roman" w:eastAsia="宋体" w:cs="Times New Roman"/>
          <w:sz w:val="28"/>
          <w:szCs w:val="28"/>
        </w:rPr>
        <w:t>3</w:t>
      </w:r>
      <w:r>
        <w:rPr>
          <w:rFonts w:ascii="Times New Roman" w:hAnsi="Times New Roman" w:eastAsia="宋体" w:cs="Times New Roman"/>
          <w:sz w:val="28"/>
          <w:szCs w:val="28"/>
        </w:rPr>
        <w:t>篇论文送检，抽检结果发现论文都达到了毕业要求，不存在问题。同时，本学位点规定，凡是在攻读硕士期间没有达到《南昌大学关于研究生发表学术论文要求的规定（2014年修订）》论文的学生，其毕业论文按照《南昌大学研究生学位论文盲审实施细则（2014年修订）》参加学校的盲审，盲审通过才允许进入答辩环节，从而进一步保证研究生的论文质量，严把论文质量关。</w:t>
      </w:r>
    </w:p>
    <w:p>
      <w:pPr>
        <w:widowControl/>
        <w:snapToGrid w:val="0"/>
        <w:spacing w:line="560" w:lineRule="exact"/>
        <w:ind w:firstLine="640" w:firstLineChars="200"/>
        <w:textAlignment w:val="baseline"/>
        <w:rPr>
          <w:rStyle w:val="24"/>
          <w:rFonts w:ascii="Times New Roman" w:hAnsi="Times New Roman" w:eastAsia="黑体" w:cs="Times New Roman"/>
          <w:sz w:val="32"/>
          <w:szCs w:val="32"/>
        </w:rPr>
      </w:pPr>
    </w:p>
    <w:p>
      <w:pPr>
        <w:pStyle w:val="3"/>
        <w:rPr>
          <w:rFonts w:ascii="Times New Roman" w:hAnsi="Times New Roman" w:eastAsia="黑体" w:cs="Times New Roman"/>
        </w:rPr>
      </w:pPr>
      <w:bookmarkStart w:id="153" w:name="_Toc99551430"/>
      <w:bookmarkStart w:id="154" w:name="_Toc23092"/>
      <w:bookmarkStart w:id="155" w:name="_Toc6015"/>
      <w:bookmarkStart w:id="156" w:name="_Toc99634697"/>
      <w:bookmarkStart w:id="157" w:name="_Toc30142"/>
      <w:bookmarkStart w:id="158" w:name="_Toc6410"/>
      <w:r>
        <w:rPr>
          <w:rStyle w:val="28"/>
          <w:rFonts w:ascii="Times New Roman" w:hAnsi="Times New Roman" w:eastAsia="黑体" w:cs="Times New Roman"/>
          <w:sz w:val="32"/>
          <w:szCs w:val="32"/>
          <w:lang w:bidi="ar"/>
        </w:rPr>
        <w:t>六、改进措施</w:t>
      </w:r>
      <w:bookmarkEnd w:id="153"/>
      <w:bookmarkEnd w:id="154"/>
      <w:bookmarkEnd w:id="155"/>
      <w:bookmarkEnd w:id="156"/>
      <w:bookmarkEnd w:id="157"/>
      <w:bookmarkEnd w:id="158"/>
    </w:p>
    <w:p>
      <w:pPr>
        <w:rPr>
          <w:rFonts w:ascii="Times New Roman" w:hAnsi="Times New Roman" w:cs="Times New Roman"/>
          <w:sz w:val="30"/>
          <w:szCs w:val="30"/>
        </w:rPr>
      </w:pPr>
      <w:r>
        <w:rPr>
          <w:rStyle w:val="28"/>
          <w:rFonts w:ascii="Times New Roman" w:hAnsi="Times New Roman" w:cs="Times New Roman"/>
          <w:sz w:val="30"/>
          <w:szCs w:val="30"/>
          <w:lang w:bidi="ar"/>
        </w:rPr>
        <w:t>针对问题提出改进建议和下一步思路举措。</w:t>
      </w:r>
    </w:p>
    <w:p>
      <w:pPr>
        <w:pStyle w:val="4"/>
        <w:rPr>
          <w:rFonts w:ascii="Times New Roman" w:hAnsi="Times New Roman" w:eastAsia="宋体" w:cs="Times New Roman"/>
          <w:sz w:val="28"/>
          <w:szCs w:val="28"/>
        </w:rPr>
      </w:pPr>
      <w:bookmarkStart w:id="159" w:name="_Toc99551431"/>
      <w:bookmarkStart w:id="160" w:name="_Toc10195"/>
      <w:bookmarkStart w:id="161" w:name="_Toc2773"/>
      <w:bookmarkStart w:id="162" w:name="_Toc18429"/>
      <w:bookmarkStart w:id="163" w:name="_Toc99634698"/>
      <w:bookmarkStart w:id="164" w:name="_Toc7725"/>
      <w:r>
        <w:rPr>
          <w:rFonts w:ascii="Times New Roman" w:hAnsi="Times New Roman" w:eastAsia="宋体" w:cs="Times New Roman"/>
          <w:color w:val="000000"/>
          <w:sz w:val="28"/>
          <w:szCs w:val="28"/>
        </w:rPr>
        <w:t>1．改进措施</w:t>
      </w:r>
      <w:bookmarkEnd w:id="159"/>
      <w:bookmarkEnd w:id="160"/>
      <w:bookmarkEnd w:id="161"/>
      <w:bookmarkEnd w:id="162"/>
      <w:bookmarkEnd w:id="163"/>
      <w:bookmarkEnd w:id="164"/>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水产养殖学是南昌大学唯一的一个农学学士授权点，也是江西省特色专业和南昌大学重点建设专业学科之一。本学科1973年开始招本科生，2006年获得水产养殖硕士学位授予权，具有水产动物遗传育种与利用、水产动物免疫与疾病控制、水产动物健康养殖与资源保护等3个特色鲜明、相对稳定的学科方向。在水生生物遗传育种、免疫学、水生生态与健康养殖学方面取得了许多研究成果，直接服务于区域水产业，学科特色突出，区位优势明显，综合实力在江西省处于领先地位，在国内外具有一定的影响力和学科优势，但与国内一流大学相比较还存在较大差距。主要表现为总体水平偏低，无博士学位授权点和博士后科研流动站；人才队伍结构有待改善，专任教师和科研人员数量不足，尤其在国内外具有较高声望的学术大师和拔尖创新人才很少；装备优良的科研基地较少，没有国家级重点实验室和工程技术研究中心；科研经费总量不足，科研创新能力不强，原创性创新性成果较少，高层次学术交流不够。</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因此，根据国家特别是江西经济建设和社会发展的趋势，围绕学校总体发展目标，统筹规划，建设一流水产学科，充分利用我校生命科学及其水产学科的学科优势，进一步促进生命科学与水产学科的交叉发展，进一步提升我校水产学科水平，大力服务于国民经济建设，建立新优势形成新特色、推动学位点建设全面、协调、可持续地向前发展，努力创建学位点发展的新格局。</w:t>
      </w:r>
    </w:p>
    <w:p>
      <w:pPr>
        <w:pStyle w:val="4"/>
      </w:pPr>
      <w:bookmarkStart w:id="165" w:name="_Toc99551432"/>
      <w:bookmarkStart w:id="166" w:name="_Toc99634699"/>
      <w:bookmarkStart w:id="167" w:name="_Toc24745"/>
      <w:bookmarkStart w:id="168" w:name="_Toc18860"/>
      <w:bookmarkStart w:id="169" w:name="_Toc28682"/>
      <w:bookmarkStart w:id="170" w:name="_Toc10866"/>
      <w:r>
        <w:rPr>
          <w:rFonts w:ascii="Times New Roman" w:hAnsi="Times New Roman" w:eastAsia="宋体" w:cs="Times New Roman"/>
          <w:color w:val="000000"/>
          <w:kern w:val="0"/>
          <w:sz w:val="28"/>
          <w:szCs w:val="28"/>
          <w:lang w:bidi="ar"/>
        </w:rPr>
        <w:t>2．拟定发展目标</w:t>
      </w:r>
      <w:bookmarkEnd w:id="165"/>
      <w:bookmarkEnd w:id="166"/>
      <w:bookmarkEnd w:id="167"/>
      <w:bookmarkEnd w:id="168"/>
      <w:bookmarkEnd w:id="169"/>
      <w:bookmarkEnd w:id="170"/>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第一、贯彻“面向世界、面向未来、面向现代化”的教育思想，坚持知识、能力、素质的协调统一，注重学生的个性发展和特长发挥，致力于培养学生的创新能力、就业能力和创新能力，构建具有自身特色的人才培养模式。</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第二、大力推进教学科研硬件设施建设，尤其是实验室的建设力度，使实验整体逐步达到国内外同类学科的先进水平，以满足高层次人才培养与科学研究的需要。进一步充实仪器设备，完善实验室的功能，提高测试能力。实现实验室共建、资源共享，使仪器设备的使用率最大化，从而提升学科建设的综合效果。集中力量规划和建设水产学教育基地。</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第三、力争3-5年内实现水产养殖博士点的突破，建立新优势，形成新特色，是当前的重要目标。</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第四、重点培养与引进在国内外有影响、在国内有较高知名度的学术带头人，建立一支年龄结构、知识结构、专业结构合理的、有竞争力的优秀学术团队3-4个，培养出该领域在国内外有较高知名度的领军人才和高层次人才。</w:t>
      </w:r>
    </w:p>
    <w:p>
      <w:pPr>
        <w:pStyle w:val="2"/>
        <w:ind w:firstLine="560"/>
        <w:rPr>
          <w:rFonts w:ascii="Times New Roman" w:hAnsi="Times New Roman" w:eastAsia="宋体" w:cs="Times New Roman"/>
          <w:sz w:val="28"/>
          <w:szCs w:val="28"/>
        </w:rPr>
      </w:pPr>
      <w:r>
        <w:rPr>
          <w:rFonts w:ascii="Times New Roman" w:hAnsi="Times New Roman" w:eastAsia="宋体" w:cs="Times New Roman"/>
          <w:sz w:val="28"/>
          <w:szCs w:val="28"/>
        </w:rPr>
        <w:t>第五、逐年提高科研经费总量；力争每年承担国家级各类研究项目2-4项，省（部）级科研项目6-8，重大科技开发和推广项目2-3项；产出有显示度的标志性成果；争取获得国家科技奖励的突破；在成果转化方面取得新进展；力争在重要国际影响的期刊上发表高水平文章；相关基础研究成果与学院生物学的1-2个相关学科共同进入ESI学科排名前1%。</w:t>
      </w:r>
    </w:p>
    <w:p>
      <w:pPr>
        <w:pStyle w:val="2"/>
        <w:ind w:firstLine="560"/>
        <w:outlineLvl w:val="9"/>
        <w:rPr>
          <w:rFonts w:ascii="Times New Roman" w:hAnsi="Times New Roman" w:eastAsia="宋体" w:cs="Times New Roman"/>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extAlignment w:val="baseline"/>
      <w:rPr>
        <w:rStyle w:val="24"/>
        <w:rFonts w:ascii="Times New Roman" w:hAnsi="Times New Roman" w:eastAsia="宋体" w:cs="Times New Roman"/>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jc w:val="both"/>
                            <w:textAlignment w:val="baseline"/>
                            <w:rPr>
                              <w:rStyle w:val="24"/>
                              <w:rFonts w:ascii="Times New Roman" w:hAnsi="Times New Roman" w:eastAsia="宋体" w:cs="Times New Roman"/>
                              <w:sz w:val="20"/>
                              <w:szCs w:val="20"/>
                            </w:rPr>
                          </w:pPr>
                        </w:p>
                        <w:p>
                          <w:pPr>
                            <w:textAlignment w:val="baseline"/>
                            <w:rPr>
                              <w:rStyle w:val="24"/>
                              <w:rFonts w:ascii="Times New Roman" w:hAnsi="Times New Roman" w:eastAsia="宋体" w:cs="Times New Roman"/>
                              <w:sz w:val="21"/>
                              <w:szCs w:val="21"/>
                            </w:rPr>
                          </w:pPr>
                        </w:p>
                      </w:txbxContent>
                    </wps:txbx>
                    <wps:bodyPr lIns="0" tIns="0" rIns="0" bIns="0" upright="1"/>
                  </wps:wsp>
                </a:graphicData>
              </a:graphic>
            </wp:anchor>
          </w:drawing>
        </mc:Choice>
        <mc:Fallback>
          <w:pict>
            <v:shape id="_x0000_s1026" o:spid="_x0000_s1026" o:spt="202" type="#_x0000_t202" style="position:absolute;left:0pt;margin-top:0.65pt;height:144pt;width:144pt;mso-position-horizontal:center;mso-position-horizontal-relative:margin;z-index:251659264;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R6pZTVAAAABgEAAA8AAAAAAAAAAQAgAAAAIgAAAGRycy9kb3ducmV2LnhtbFBLAQIU&#10;ABQAAAAIAIdO4kC7E0XIvQEAAH0DAAAOAAAAAAAAAAEAIAAAACQBAABkcnMvZTJvRG9jLnhtbFBL&#10;BQYAAAAABgAGAFkBAABTBQAAAAA=&#10;">
              <v:fill on="f" focussize="0,0"/>
              <v:stroke on="f" weight="1.25pt"/>
              <v:imagedata o:title=""/>
              <o:lock v:ext="edit" aspectratio="f"/>
              <v:textbox inset="0mm,0mm,0mm,0mm">
                <w:txbxContent>
                  <w:p>
                    <w:pPr>
                      <w:pStyle w:val="6"/>
                      <w:widowControl/>
                      <w:jc w:val="both"/>
                      <w:textAlignment w:val="baseline"/>
                      <w:rPr>
                        <w:rStyle w:val="24"/>
                        <w:rFonts w:ascii="Times New Roman" w:hAnsi="Times New Roman" w:eastAsia="宋体" w:cs="Times New Roman"/>
                        <w:sz w:val="20"/>
                        <w:szCs w:val="20"/>
                      </w:rPr>
                    </w:pPr>
                  </w:p>
                  <w:p>
                    <w:pPr>
                      <w:textAlignment w:val="baseline"/>
                      <w:rPr>
                        <w:rStyle w:val="24"/>
                        <w:rFonts w:ascii="Times New Roman" w:hAnsi="Times New Roman" w:eastAsia="宋体" w:cs="Times New Roman"/>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jc w:val="center"/>
      <w:textAlignment w:val="baseline"/>
      <w:rPr>
        <w:rStyle w:val="24"/>
        <w:rFonts w:ascii="Times New Roman" w:hAnsi="Times New Roman" w:eastAsia="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ascii="Times New Roman" w:hAnsi="Times New Roman" w:eastAsia="宋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STzj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pCqvlk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D+Ek841AEAAKUDAAAOAAAAAAAAAAEAIAAAAB8B&#10;AABkcnMvZTJvRG9jLnhtbFBLBQYAAAAABgAGAFkBAABl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p>
    <w:pPr>
      <w:pStyle w:val="6"/>
      <w:widowControl/>
      <w:jc w:val="center"/>
      <w:textAlignment w:val="baseline"/>
      <w:rPr>
        <w:rStyle w:val="24"/>
        <w:rFonts w:ascii="Times New Roman" w:hAnsi="Times New Roman" w:eastAsia="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jc w:val="center"/>
                            <w:textAlignment w:val="baseline"/>
                            <w:rPr>
                              <w:rStyle w:val="24"/>
                              <w:rFonts w:ascii="仿宋_GB2312" w:hAnsi="仿宋_GB2312" w:eastAsia="仿宋_GB2312" w:cs="Times New Roman"/>
                              <w:sz w:val="28"/>
                              <w:szCs w:val="28"/>
                            </w:rPr>
                          </w:pPr>
                        </w:p>
                        <w:p>
                          <w:pPr>
                            <w:textAlignment w:val="baseline"/>
                            <w:rPr>
                              <w:rStyle w:val="24"/>
                              <w:rFonts w:ascii="Times New Roman" w:hAnsi="Times New Roman" w:eastAsia="宋体" w:cs="Times New Roman"/>
                              <w:sz w:val="21"/>
                              <w:szCs w:val="21"/>
                            </w:rPr>
                          </w:pPr>
                        </w:p>
                      </w:txbxContent>
                    </wps:txbx>
                    <wps:bodyPr lIns="0" tIns="0" rIns="0" bIns="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7jl9IAAAAFAQAADwAAAAAAAAABACAAAAAiAAAAZHJzL2Rvd25yZXYueG1sUEsBAhQA&#10;FAAAAAgAh07iQP4EzZa/AQAAfgMAAA4AAAAAAAAAAQAgAAAAIQEAAGRycy9lMm9Eb2MueG1sUEsF&#10;BgAAAAAGAAYAWQEAAFIFAAAAAA==&#10;">
              <v:fill on="f" focussize="0,0"/>
              <v:stroke on="f" weight="1.25pt"/>
              <v:imagedata o:title=""/>
              <o:lock v:ext="edit" aspectratio="f"/>
              <v:textbox inset="0mm,0mm,0mm,0mm">
                <w:txbxContent>
                  <w:p>
                    <w:pPr>
                      <w:pStyle w:val="6"/>
                      <w:widowControl/>
                      <w:jc w:val="center"/>
                      <w:textAlignment w:val="baseline"/>
                      <w:rPr>
                        <w:rStyle w:val="24"/>
                        <w:rFonts w:ascii="仿宋_GB2312" w:hAnsi="仿宋_GB2312" w:eastAsia="仿宋_GB2312" w:cs="Times New Roman"/>
                        <w:sz w:val="28"/>
                        <w:szCs w:val="28"/>
                      </w:rPr>
                    </w:pPr>
                  </w:p>
                  <w:p>
                    <w:pPr>
                      <w:textAlignment w:val="baseline"/>
                      <w:rPr>
                        <w:rStyle w:val="24"/>
                        <w:rFonts w:ascii="Times New Roman" w:hAnsi="Times New Roman" w:eastAsia="宋体" w:cs="Times New Roman"/>
                        <w:sz w:val="21"/>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FDE6D"/>
    <w:multiLevelType w:val="singleLevel"/>
    <w:tmpl w:val="283FDE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YWIwOWE0ZTFjODQwZmZkYzY4NmI3NWI0MWYxZWIifQ=="/>
  </w:docVars>
  <w:rsids>
    <w:rsidRoot w:val="00172A27"/>
    <w:rsid w:val="0000504C"/>
    <w:rsid w:val="00057568"/>
    <w:rsid w:val="00072396"/>
    <w:rsid w:val="00082791"/>
    <w:rsid w:val="002A2A8F"/>
    <w:rsid w:val="002A5C0C"/>
    <w:rsid w:val="002E4D84"/>
    <w:rsid w:val="00451F04"/>
    <w:rsid w:val="005E7BF0"/>
    <w:rsid w:val="006B3101"/>
    <w:rsid w:val="00702CF9"/>
    <w:rsid w:val="007852C0"/>
    <w:rsid w:val="00824444"/>
    <w:rsid w:val="00A349CF"/>
    <w:rsid w:val="00A54693"/>
    <w:rsid w:val="00AE320B"/>
    <w:rsid w:val="00B752E9"/>
    <w:rsid w:val="00BB3DD5"/>
    <w:rsid w:val="00D94DEB"/>
    <w:rsid w:val="00DA77BC"/>
    <w:rsid w:val="00E05B27"/>
    <w:rsid w:val="00E53D40"/>
    <w:rsid w:val="00EF1BE0"/>
    <w:rsid w:val="00F2717A"/>
    <w:rsid w:val="00FE5682"/>
    <w:rsid w:val="01EA5441"/>
    <w:rsid w:val="03317471"/>
    <w:rsid w:val="05235D34"/>
    <w:rsid w:val="06A20A39"/>
    <w:rsid w:val="06DE529C"/>
    <w:rsid w:val="070735AF"/>
    <w:rsid w:val="07AA637F"/>
    <w:rsid w:val="08D12F00"/>
    <w:rsid w:val="0B1E3C3C"/>
    <w:rsid w:val="0B3049D6"/>
    <w:rsid w:val="0B692FE1"/>
    <w:rsid w:val="0C480258"/>
    <w:rsid w:val="0CBD06F8"/>
    <w:rsid w:val="0CD00F0A"/>
    <w:rsid w:val="0EBD0E70"/>
    <w:rsid w:val="0F712BB6"/>
    <w:rsid w:val="102354BF"/>
    <w:rsid w:val="119A7465"/>
    <w:rsid w:val="11A654C6"/>
    <w:rsid w:val="121A010C"/>
    <w:rsid w:val="14EE629B"/>
    <w:rsid w:val="16F83C72"/>
    <w:rsid w:val="175711D9"/>
    <w:rsid w:val="176E44CD"/>
    <w:rsid w:val="179648C8"/>
    <w:rsid w:val="1B9D47B8"/>
    <w:rsid w:val="1BA04430"/>
    <w:rsid w:val="1CC25C22"/>
    <w:rsid w:val="1D1B3F65"/>
    <w:rsid w:val="1D2C7F08"/>
    <w:rsid w:val="1D885939"/>
    <w:rsid w:val="1DA713F5"/>
    <w:rsid w:val="1E501745"/>
    <w:rsid w:val="1FF06498"/>
    <w:rsid w:val="204737CE"/>
    <w:rsid w:val="2157330E"/>
    <w:rsid w:val="21E76A94"/>
    <w:rsid w:val="22246072"/>
    <w:rsid w:val="273B2C0F"/>
    <w:rsid w:val="27A929FE"/>
    <w:rsid w:val="27E8112C"/>
    <w:rsid w:val="287252B6"/>
    <w:rsid w:val="29B86DCE"/>
    <w:rsid w:val="29B9024C"/>
    <w:rsid w:val="2A302E20"/>
    <w:rsid w:val="2C176D18"/>
    <w:rsid w:val="2C21126A"/>
    <w:rsid w:val="2C752F1C"/>
    <w:rsid w:val="2D970E2C"/>
    <w:rsid w:val="2DDF57D9"/>
    <w:rsid w:val="31232758"/>
    <w:rsid w:val="33D83D93"/>
    <w:rsid w:val="34A54B0F"/>
    <w:rsid w:val="35E11256"/>
    <w:rsid w:val="36363350"/>
    <w:rsid w:val="36AA33F6"/>
    <w:rsid w:val="37C117AD"/>
    <w:rsid w:val="38147E3B"/>
    <w:rsid w:val="389D0C80"/>
    <w:rsid w:val="396D222D"/>
    <w:rsid w:val="3B857ED9"/>
    <w:rsid w:val="3B9B0C14"/>
    <w:rsid w:val="3D9B21BA"/>
    <w:rsid w:val="3DB334D8"/>
    <w:rsid w:val="3EE6343A"/>
    <w:rsid w:val="3EE83FF7"/>
    <w:rsid w:val="3F1B4D6F"/>
    <w:rsid w:val="3F40671A"/>
    <w:rsid w:val="3FEE08F8"/>
    <w:rsid w:val="40811190"/>
    <w:rsid w:val="42AF2661"/>
    <w:rsid w:val="43673D14"/>
    <w:rsid w:val="43E04937"/>
    <w:rsid w:val="44173ECB"/>
    <w:rsid w:val="44421984"/>
    <w:rsid w:val="44A44BC4"/>
    <w:rsid w:val="44AD2E0D"/>
    <w:rsid w:val="465C0250"/>
    <w:rsid w:val="46C035F8"/>
    <w:rsid w:val="4792415F"/>
    <w:rsid w:val="4887486B"/>
    <w:rsid w:val="48DF366D"/>
    <w:rsid w:val="48FB1333"/>
    <w:rsid w:val="490861A0"/>
    <w:rsid w:val="496544C0"/>
    <w:rsid w:val="497A1E08"/>
    <w:rsid w:val="49CC5B99"/>
    <w:rsid w:val="4B7E0E36"/>
    <w:rsid w:val="4CFC1042"/>
    <w:rsid w:val="4D7D7DB9"/>
    <w:rsid w:val="4F6F4F2D"/>
    <w:rsid w:val="4FED2FCA"/>
    <w:rsid w:val="51BE544C"/>
    <w:rsid w:val="526E1E56"/>
    <w:rsid w:val="5338480E"/>
    <w:rsid w:val="54F9581D"/>
    <w:rsid w:val="55923295"/>
    <w:rsid w:val="55A44A45"/>
    <w:rsid w:val="562166FF"/>
    <w:rsid w:val="56E90240"/>
    <w:rsid w:val="56F46B37"/>
    <w:rsid w:val="57A23368"/>
    <w:rsid w:val="57EF7F46"/>
    <w:rsid w:val="58815E06"/>
    <w:rsid w:val="589E7065"/>
    <w:rsid w:val="5D9A2BD8"/>
    <w:rsid w:val="5EC47139"/>
    <w:rsid w:val="5FB05672"/>
    <w:rsid w:val="63802D8D"/>
    <w:rsid w:val="63846641"/>
    <w:rsid w:val="659F2553"/>
    <w:rsid w:val="66EF4E57"/>
    <w:rsid w:val="67A4342A"/>
    <w:rsid w:val="6A215794"/>
    <w:rsid w:val="6AAB5A90"/>
    <w:rsid w:val="6C160F2C"/>
    <w:rsid w:val="6D485437"/>
    <w:rsid w:val="6E995A95"/>
    <w:rsid w:val="6FA44DF9"/>
    <w:rsid w:val="7229607F"/>
    <w:rsid w:val="73D25D6E"/>
    <w:rsid w:val="740B40E6"/>
    <w:rsid w:val="744D7FD2"/>
    <w:rsid w:val="75187F78"/>
    <w:rsid w:val="754E378A"/>
    <w:rsid w:val="75D7090C"/>
    <w:rsid w:val="762E2BD0"/>
    <w:rsid w:val="77260526"/>
    <w:rsid w:val="77B72634"/>
    <w:rsid w:val="77F40DE4"/>
    <w:rsid w:val="780514D6"/>
    <w:rsid w:val="7AF721A5"/>
    <w:rsid w:val="7BBC67DB"/>
    <w:rsid w:val="7CDC7A49"/>
    <w:rsid w:val="7DD37E5E"/>
    <w:rsid w:val="7E637C8C"/>
    <w:rsid w:val="7F1A552A"/>
    <w:rsid w:val="7F74206A"/>
    <w:rsid w:val="7F89761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Calibri"/>
      <w:kern w:val="2"/>
      <w:sz w:val="32"/>
      <w:szCs w:val="32"/>
      <w:lang w:val="en-US" w:eastAsia="zh-CN" w:bidi="ar-SA"/>
    </w:rPr>
  </w:style>
  <w:style w:type="paragraph" w:styleId="3">
    <w:name w:val="heading 1"/>
    <w:basedOn w:val="1"/>
    <w:next w:val="1"/>
    <w:link w:val="18"/>
    <w:qFormat/>
    <w:uiPriority w:val="99"/>
    <w:pPr>
      <w:spacing w:beforeAutospacing="1" w:afterAutospacing="1"/>
      <w:jc w:val="left"/>
      <w:outlineLvl w:val="0"/>
    </w:pPr>
    <w:rPr>
      <w:rFonts w:ascii="宋体" w:hAnsi="宋体" w:eastAsia="宋体" w:cs="宋体"/>
      <w:b/>
      <w:bCs/>
      <w:kern w:val="44"/>
      <w:sz w:val="48"/>
      <w:szCs w:val="48"/>
    </w:rPr>
  </w:style>
  <w:style w:type="paragraph" w:styleId="4">
    <w:name w:val="heading 2"/>
    <w:basedOn w:val="1"/>
    <w:next w:val="1"/>
    <w:semiHidden/>
    <w:unhideWhenUsed/>
    <w:qFormat/>
    <w:locked/>
    <w:uiPriority w:val="0"/>
    <w:pPr>
      <w:keepNext/>
      <w:keepLines/>
      <w:spacing w:before="260" w:after="260" w:line="416" w:lineRule="auto"/>
      <w:outlineLvl w:val="1"/>
    </w:pPr>
    <w:rPr>
      <w:rFonts w:asciiTheme="majorHAnsi" w:hAnsiTheme="majorHAnsi" w:eastAsiaTheme="majorEastAsia" w:cstheme="majorBidi"/>
      <w:b/>
      <w:bCs/>
    </w:rPr>
  </w:style>
  <w:style w:type="paragraph" w:styleId="2">
    <w:name w:val="heading 3"/>
    <w:basedOn w:val="1"/>
    <w:next w:val="1"/>
    <w:link w:val="19"/>
    <w:qFormat/>
    <w:uiPriority w:val="99"/>
    <w:pPr>
      <w:spacing w:line="600" w:lineRule="exact"/>
      <w:ind w:firstLine="640" w:firstLineChars="200"/>
      <w:outlineLvl w:val="2"/>
    </w:pPr>
    <w:rPr>
      <w:rFonts w:ascii="黑体" w:hAnsi="黑体" w:eastAsia="黑体" w:cs="黑体"/>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rPr>
      <w:sz w:val="20"/>
      <w:szCs w:val="20"/>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方正仿宋简体" w:cs="Calibri"/>
      <w:kern w:val="2"/>
      <w:sz w:val="32"/>
      <w:szCs w:val="32"/>
      <w:lang w:val="en-US" w:eastAsia="zh-CN" w:bidi="ar"/>
    </w:rPr>
  </w:style>
  <w:style w:type="paragraph" w:styleId="9">
    <w:name w:val="toc 2"/>
    <w:basedOn w:val="1"/>
    <w:next w:val="1"/>
    <w:semiHidden/>
    <w:unhideWhenUsed/>
    <w:qFormat/>
    <w:uiPriority w:val="39"/>
    <w:pPr>
      <w:keepNext w:val="0"/>
      <w:keepLines w:val="0"/>
      <w:widowControl w:val="0"/>
      <w:suppressLineNumbers w:val="0"/>
      <w:spacing w:line="400" w:lineRule="exact"/>
      <w:ind w:left="640" w:leftChars="200"/>
      <w:jc w:val="both"/>
    </w:pPr>
    <w:rPr>
      <w:rFonts w:hint="default" w:ascii="Times New Roman" w:hAnsi="Times New Roman" w:eastAsia="宋体" w:cs="Times New Roman"/>
      <w:kern w:val="2"/>
      <w:sz w:val="28"/>
      <w:szCs w:val="28"/>
      <w:lang w:val="en-US" w:eastAsia="zh-CN" w:bidi="ar"/>
    </w:rPr>
  </w:style>
  <w:style w:type="paragraph" w:styleId="10">
    <w:name w:val="Normal (Web)"/>
    <w:basedOn w:val="1"/>
    <w:qFormat/>
    <w:uiPriority w:val="99"/>
    <w:pPr>
      <w:spacing w:beforeAutospacing="1" w:afterAutospacing="1"/>
      <w:jc w:val="left"/>
    </w:pPr>
    <w:rPr>
      <w:kern w:val="0"/>
      <w:sz w:val="24"/>
      <w:szCs w:val="24"/>
    </w:rPr>
  </w:style>
  <w:style w:type="table" w:styleId="12">
    <w:name w:val="Table Grid"/>
    <w:basedOn w:val="11"/>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99"/>
    <w:rPr>
      <w:b/>
      <w:bCs/>
    </w:rPr>
  </w:style>
  <w:style w:type="character" w:styleId="15">
    <w:name w:val="page number"/>
    <w:basedOn w:val="13"/>
    <w:qFormat/>
    <w:uiPriority w:val="99"/>
  </w:style>
  <w:style w:type="character" w:styleId="16">
    <w:name w:val="FollowedHyperlink"/>
    <w:qFormat/>
    <w:uiPriority w:val="99"/>
    <w:rPr>
      <w:color w:val="800080"/>
      <w:u w:val="none"/>
    </w:rPr>
  </w:style>
  <w:style w:type="character" w:styleId="17">
    <w:name w:val="Hyperlink"/>
    <w:basedOn w:val="13"/>
    <w:qFormat/>
    <w:uiPriority w:val="99"/>
    <w:rPr>
      <w:color w:val="0000FF"/>
      <w:u w:val="none"/>
    </w:rPr>
  </w:style>
  <w:style w:type="character" w:customStyle="1" w:styleId="18">
    <w:name w:val="标题 1 字符"/>
    <w:link w:val="3"/>
    <w:qFormat/>
    <w:uiPriority w:val="9"/>
    <w:rPr>
      <w:rFonts w:eastAsia="方正仿宋简体" w:cs="Calibri"/>
      <w:b/>
      <w:bCs/>
      <w:kern w:val="44"/>
      <w:sz w:val="44"/>
      <w:szCs w:val="44"/>
    </w:rPr>
  </w:style>
  <w:style w:type="character" w:customStyle="1" w:styleId="19">
    <w:name w:val="标题 3 字符"/>
    <w:link w:val="2"/>
    <w:semiHidden/>
    <w:qFormat/>
    <w:uiPriority w:val="9"/>
    <w:rPr>
      <w:rFonts w:eastAsia="方正仿宋简体" w:cs="Calibri"/>
      <w:b/>
      <w:bCs/>
      <w:sz w:val="32"/>
      <w:szCs w:val="32"/>
    </w:rPr>
  </w:style>
  <w:style w:type="character" w:customStyle="1" w:styleId="20">
    <w:name w:val="页脚 字符"/>
    <w:link w:val="6"/>
    <w:semiHidden/>
    <w:qFormat/>
    <w:uiPriority w:val="99"/>
    <w:rPr>
      <w:rFonts w:eastAsia="方正仿宋简体" w:cs="Calibri"/>
      <w:sz w:val="18"/>
      <w:szCs w:val="18"/>
    </w:rPr>
  </w:style>
  <w:style w:type="character" w:customStyle="1" w:styleId="21">
    <w:name w:val="页眉 字符"/>
    <w:link w:val="7"/>
    <w:semiHidden/>
    <w:qFormat/>
    <w:uiPriority w:val="99"/>
    <w:rPr>
      <w:rFonts w:eastAsia="方正仿宋简体" w:cs="Calibri"/>
      <w:sz w:val="18"/>
      <w:szCs w:val="18"/>
    </w:rPr>
  </w:style>
  <w:style w:type="character" w:customStyle="1" w:styleId="22">
    <w:name w:val="hover21"/>
    <w:qFormat/>
    <w:uiPriority w:val="99"/>
    <w:rPr>
      <w:color w:val="auto"/>
    </w:rPr>
  </w:style>
  <w:style w:type="paragraph" w:customStyle="1" w:styleId="23">
    <w:name w:val="彩色列表 - 强调文字颜色 11"/>
    <w:basedOn w:val="1"/>
    <w:qFormat/>
    <w:uiPriority w:val="99"/>
    <w:pPr>
      <w:ind w:firstLine="420" w:firstLineChars="200"/>
    </w:pPr>
    <w:rPr>
      <w:rFonts w:ascii="Cambria" w:hAnsi="Cambria" w:cs="Cambria"/>
    </w:rPr>
  </w:style>
  <w:style w:type="character" w:customStyle="1" w:styleId="24">
    <w:name w:val="NormalCharacter"/>
    <w:semiHidden/>
    <w:qFormat/>
    <w:uiPriority w:val="99"/>
    <w:rPr>
      <w:rFonts w:ascii="Calibri" w:hAnsi="Calibri" w:eastAsia="方正仿宋简体" w:cs="Calibri"/>
      <w:kern w:val="2"/>
      <w:sz w:val="24"/>
      <w:szCs w:val="24"/>
      <w:lang w:val="en-US" w:eastAsia="zh-CN"/>
    </w:rPr>
  </w:style>
  <w:style w:type="paragraph" w:customStyle="1" w:styleId="25">
    <w:name w:val="Heading3"/>
    <w:basedOn w:val="1"/>
    <w:next w:val="1"/>
    <w:qFormat/>
    <w:uiPriority w:val="99"/>
    <w:pPr>
      <w:spacing w:line="600" w:lineRule="exact"/>
      <w:ind w:firstLine="640" w:firstLineChars="200"/>
      <w:textAlignment w:val="baseline"/>
    </w:pPr>
    <w:rPr>
      <w:rFonts w:ascii="黑体" w:hAnsi="黑体" w:eastAsia="黑体" w:cs="黑体"/>
      <w:color w:val="000000"/>
    </w:rPr>
  </w:style>
  <w:style w:type="paragraph" w:customStyle="1" w:styleId="26">
    <w:name w:val="WPSOffice手动目录 1"/>
    <w:uiPriority w:val="0"/>
    <w:pPr>
      <w:ind w:leftChars="0"/>
    </w:pPr>
    <w:rPr>
      <w:rFonts w:ascii="Times New Roman" w:hAnsi="Times New Roman" w:eastAsia="宋体" w:cs="Times New Roman"/>
      <w:sz w:val="20"/>
      <w:szCs w:val="20"/>
    </w:rPr>
  </w:style>
  <w:style w:type="paragraph" w:customStyle="1" w:styleId="27">
    <w:name w:val="WPSOffice手动目录 2"/>
    <w:uiPriority w:val="0"/>
    <w:pPr>
      <w:ind w:leftChars="200"/>
    </w:pPr>
    <w:rPr>
      <w:rFonts w:ascii="Times New Roman" w:hAnsi="Times New Roman" w:eastAsia="宋体" w:cs="Times New Roman"/>
      <w:sz w:val="20"/>
      <w:szCs w:val="20"/>
    </w:rPr>
  </w:style>
  <w:style w:type="character" w:customStyle="1" w:styleId="28">
    <w:name w:val="15"/>
    <w:basedOn w:val="13"/>
    <w:qFormat/>
    <w:uiPriority w:val="0"/>
    <w:rPr>
      <w:rFonts w:hint="default" w:ascii="Calibri" w:hAnsi="Calibri" w:eastAsia="方正仿宋简体" w:cs="Calibri"/>
      <w:kern w:val="2"/>
      <w:sz w:val="24"/>
      <w:szCs w:val="24"/>
    </w:rPr>
  </w:style>
  <w:style w:type="paragraph" w:customStyle="1" w:styleId="2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0">
    <w:name w:val="10"/>
    <w:basedOn w:val="1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25</Pages>
  <Words>13083</Words>
  <Characters>13352</Characters>
  <Lines>1</Lines>
  <Paragraphs>1</Paragraphs>
  <TotalTime>52</TotalTime>
  <ScaleCrop>false</ScaleCrop>
  <LinksUpToDate>false</LinksUpToDate>
  <CharactersWithSpaces>13437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2021-03-19T06:54:00Z</dcterms:created>
  <dc:creator>XWB</dc:creator>
  <cp:lastModifiedBy>大显身手</cp:lastModifiedBy>
  <cp:lastPrinted>2020-11-20T03:24:00Z</cp:lastPrinted>
  <dcterms:modified xsi:type="dcterms:W3CDTF">2023-02-21T00:26:55Z</dcterms:modified>
  <dc:title>南昌大学学位授权点建设年度报告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C9E4929C8FDD40DE8C83AD2FFDC05526</vt:lpwstr>
  </property>
</Properties>
</file>